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640" w:firstLineChars="200"/>
        <w:rPr>
          <w:rFonts w:hint="eastAsia" w:eastAsia="方正仿宋简体"/>
          <w:sz w:val="32"/>
          <w:szCs w:val="32"/>
          <w:highlight w:val="none"/>
        </w:rPr>
      </w:pPr>
    </w:p>
    <w:p>
      <w:pPr>
        <w:spacing w:line="580" w:lineRule="exact"/>
        <w:jc w:val="center"/>
        <w:rPr>
          <w:rFonts w:hint="default" w:eastAsia="方正小标宋简体"/>
          <w:sz w:val="44"/>
          <w:szCs w:val="44"/>
          <w:highlight w:val="none"/>
          <w:lang w:val="en-US" w:eastAsia="zh-CN"/>
        </w:rPr>
      </w:pPr>
      <w:r>
        <w:rPr>
          <w:rFonts w:hint="eastAsia" w:eastAsia="方正小标宋简体"/>
          <w:sz w:val="44"/>
          <w:szCs w:val="44"/>
          <w:highlight w:val="none"/>
        </w:rPr>
        <w:t>乐至县</w:t>
      </w:r>
      <w:r>
        <w:rPr>
          <w:rFonts w:hint="eastAsia" w:eastAsia="方正小标宋简体"/>
          <w:sz w:val="44"/>
          <w:szCs w:val="44"/>
          <w:highlight w:val="none"/>
          <w:lang w:val="en-US" w:eastAsia="zh-CN"/>
        </w:rPr>
        <w:t>住房和城乡建设局</w:t>
      </w:r>
    </w:p>
    <w:p>
      <w:pPr>
        <w:spacing w:line="580" w:lineRule="exact"/>
        <w:jc w:val="center"/>
        <w:rPr>
          <w:rFonts w:hint="eastAsia" w:eastAsia="方正小标宋简体"/>
          <w:sz w:val="44"/>
          <w:szCs w:val="44"/>
          <w:highlight w:val="none"/>
        </w:rPr>
      </w:pPr>
      <w:r>
        <w:rPr>
          <w:rFonts w:hint="eastAsia" w:eastAsia="方正小标宋简体"/>
          <w:sz w:val="44"/>
          <w:szCs w:val="44"/>
          <w:highlight w:val="none"/>
        </w:rPr>
        <w:t>20</w:t>
      </w:r>
      <w:r>
        <w:rPr>
          <w:rFonts w:eastAsia="方正小标宋简体"/>
          <w:sz w:val="44"/>
          <w:szCs w:val="44"/>
          <w:highlight w:val="none"/>
        </w:rPr>
        <w:t>2</w:t>
      </w:r>
      <w:r>
        <w:rPr>
          <w:rFonts w:hint="eastAsia" w:eastAsia="方正小标宋简体"/>
          <w:sz w:val="44"/>
          <w:szCs w:val="44"/>
          <w:highlight w:val="none"/>
        </w:rPr>
        <w:t>2年单位预算编制说明</w:t>
      </w:r>
    </w:p>
    <w:p>
      <w:pPr>
        <w:spacing w:line="580" w:lineRule="exact"/>
        <w:ind w:firstLine="640" w:firstLineChars="200"/>
        <w:rPr>
          <w:rFonts w:hint="eastAsia" w:eastAsia="方正黑体简体"/>
          <w:sz w:val="32"/>
          <w:szCs w:val="32"/>
          <w:highlight w:val="none"/>
        </w:rPr>
      </w:pPr>
    </w:p>
    <w:p>
      <w:pPr>
        <w:spacing w:line="580" w:lineRule="exact"/>
        <w:ind w:firstLine="640" w:firstLineChars="200"/>
        <w:rPr>
          <w:rFonts w:eastAsia="方正黑体简体"/>
          <w:sz w:val="32"/>
          <w:szCs w:val="32"/>
          <w:highlight w:val="none"/>
        </w:rPr>
      </w:pPr>
      <w:r>
        <w:rPr>
          <w:rFonts w:eastAsia="方正黑体简体"/>
          <w:sz w:val="32"/>
          <w:szCs w:val="32"/>
          <w:highlight w:val="none"/>
        </w:rPr>
        <w:t>一、基本职能及主要工作</w:t>
      </w:r>
    </w:p>
    <w:p>
      <w:pPr>
        <w:spacing w:line="580" w:lineRule="exact"/>
        <w:ind w:firstLine="643" w:firstLineChars="200"/>
        <w:rPr>
          <w:rFonts w:eastAsia="方正楷体简体"/>
          <w:b/>
          <w:sz w:val="32"/>
          <w:szCs w:val="32"/>
          <w:highlight w:val="none"/>
        </w:rPr>
      </w:pPr>
      <w:r>
        <w:rPr>
          <w:rFonts w:eastAsia="方正楷体简体"/>
          <w:b/>
          <w:sz w:val="32"/>
          <w:szCs w:val="32"/>
          <w:highlight w:val="none"/>
        </w:rPr>
        <w:t>（一）职能简介</w:t>
      </w:r>
    </w:p>
    <w:p>
      <w:pPr>
        <w:snapToGrid w:val="0"/>
        <w:spacing w:line="520" w:lineRule="exact"/>
        <w:ind w:firstLine="640" w:firstLineChars="200"/>
        <w:rPr>
          <w:rFonts w:hint="eastAsia" w:ascii="仿宋" w:hAnsi="仿宋" w:eastAsia="仿宋"/>
          <w:bCs/>
          <w:color w:val="000000"/>
          <w:sz w:val="32"/>
          <w:szCs w:val="32"/>
          <w:highlight w:val="none"/>
        </w:rPr>
      </w:pPr>
      <w:r>
        <w:rPr>
          <w:rFonts w:hint="eastAsia" w:ascii="仿宋" w:hAnsi="仿宋" w:eastAsia="仿宋"/>
          <w:sz w:val="32"/>
          <w:szCs w:val="32"/>
          <w:highlight w:val="none"/>
        </w:rPr>
        <w:t>负责规范房地产市场秩序、建筑市场各方主体行为，监督管理房地产市场、建筑市场；负责建设行业的对外经济技术合作；负责推进全县住房制度改革，保障城镇低收入家庭住房；负责指导城镇建设管理，规范和指导全县村镇建设；负责城镇供水、排水、节水、污水处理、防汛排涝建设管理和行业管理，建设工程消防设计审查、备案、消防验收以及燃气管理；负责全县人民防空管理工作。</w:t>
      </w:r>
    </w:p>
    <w:p>
      <w:pPr>
        <w:spacing w:line="580" w:lineRule="exact"/>
        <w:ind w:firstLine="643" w:firstLineChars="200"/>
        <w:rPr>
          <w:rFonts w:ascii="Times New Roman" w:hAnsi="Times New Roman" w:eastAsia="方正楷体简体" w:cs="Times New Roman"/>
          <w:b/>
          <w:sz w:val="32"/>
          <w:szCs w:val="32"/>
          <w:highlight w:val="none"/>
        </w:rPr>
      </w:pPr>
      <w:bookmarkStart w:id="0" w:name="_Toc15377200"/>
      <w:bookmarkStart w:id="1" w:name="_Toc15396601"/>
      <w:r>
        <w:rPr>
          <w:rFonts w:hint="eastAsia" w:ascii="Times New Roman" w:hAnsi="Times New Roman" w:eastAsia="方正楷体简体" w:cs="Times New Roman"/>
          <w:b/>
          <w:sz w:val="32"/>
          <w:szCs w:val="32"/>
          <w:highlight w:val="none"/>
          <w:lang w:eastAsia="zh-CN"/>
        </w:rPr>
        <w:t>（</w:t>
      </w:r>
      <w:r>
        <w:rPr>
          <w:rFonts w:ascii="Times New Roman" w:hAnsi="Times New Roman" w:eastAsia="方正楷体简体" w:cs="Times New Roman"/>
          <w:b/>
          <w:sz w:val="32"/>
          <w:szCs w:val="32"/>
          <w:highlight w:val="none"/>
        </w:rPr>
        <w:t>二</w:t>
      </w:r>
      <w:r>
        <w:rPr>
          <w:rFonts w:hint="eastAsia" w:ascii="Times New Roman" w:hAnsi="Times New Roman" w:eastAsia="方正楷体简体" w:cs="Times New Roman"/>
          <w:b/>
          <w:sz w:val="32"/>
          <w:szCs w:val="32"/>
          <w:highlight w:val="none"/>
          <w:lang w:eastAsia="zh-CN"/>
        </w:rPr>
        <w:t>）</w:t>
      </w:r>
      <w:r>
        <w:rPr>
          <w:rFonts w:ascii="Times New Roman" w:hAnsi="Times New Roman" w:eastAsia="方正楷体简体" w:cs="Times New Roman"/>
          <w:b/>
          <w:sz w:val="32"/>
          <w:szCs w:val="32"/>
          <w:highlight w:val="none"/>
        </w:rPr>
        <w:t>机构设置</w:t>
      </w:r>
      <w:bookmarkEnd w:id="0"/>
      <w:bookmarkEnd w:id="1"/>
    </w:p>
    <w:p>
      <w:pPr>
        <w:snapToGrid w:val="0"/>
        <w:spacing w:line="520" w:lineRule="exact"/>
        <w:ind w:firstLine="640" w:firstLineChars="200"/>
        <w:rPr>
          <w:rFonts w:hint="eastAsia"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乐至县住房和城乡建设</w:t>
      </w:r>
      <w:r>
        <w:rPr>
          <w:rFonts w:hint="default" w:ascii="Times New Roman" w:hAnsi="Times New Roman" w:eastAsia="仿宋_GB2312" w:cs="Times New Roman"/>
          <w:sz w:val="32"/>
          <w:szCs w:val="32"/>
        </w:rPr>
        <w:t>局机关内设1室5股：办公室、城镇建管股、住保房监股、建筑管理股、行政审批股、计划财务股（内审股）。并设机关党委办公室。</w:t>
      </w:r>
      <w:r>
        <w:rPr>
          <w:rFonts w:hint="eastAsia" w:eastAsia="仿宋_GB2312" w:cs="Times New Roman"/>
          <w:sz w:val="32"/>
          <w:szCs w:val="32"/>
          <w:lang w:val="en-US" w:eastAsia="zh-CN"/>
        </w:rPr>
        <w:t>下属二级局1个：乐至县房地产管理局。</w:t>
      </w:r>
      <w:r>
        <w:rPr>
          <w:rFonts w:hint="default" w:ascii="Times New Roman" w:hAnsi="Times New Roman" w:eastAsia="仿宋_GB2312" w:cs="Times New Roman"/>
          <w:sz w:val="32"/>
          <w:szCs w:val="32"/>
        </w:rPr>
        <w:t>下属事业单位</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个：乡村建设办公室</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股级单位有建设工程质量安全监督站（挂牌渣土办）、城市建设档案室、市政管理所、建设工程招标投标管理办公室、城镇供排水管理总站、装饰装修管理办公室</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乐至县开发区管理委员会</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代管政府性平台公司3个</w:t>
      </w:r>
      <w:r>
        <w:rPr>
          <w:rFonts w:hint="default" w:ascii="Times New Roman" w:hAnsi="Times New Roman" w:eastAsia="仿宋_GB2312" w:cs="Times New Roman"/>
          <w:sz w:val="32"/>
          <w:szCs w:val="32"/>
          <w:lang w:eastAsia="zh-CN"/>
        </w:rPr>
        <w:t>：乐至县</w:t>
      </w:r>
      <w:r>
        <w:rPr>
          <w:rFonts w:hint="default" w:ascii="Times New Roman" w:hAnsi="Times New Roman" w:eastAsia="仿宋_GB2312" w:cs="Times New Roman"/>
          <w:sz w:val="32"/>
          <w:szCs w:val="32"/>
        </w:rPr>
        <w:t>新城公司</w:t>
      </w:r>
      <w:r>
        <w:rPr>
          <w:rFonts w:hint="default" w:ascii="Times New Roman" w:hAnsi="Times New Roman" w:eastAsia="仿宋_GB2312" w:cs="Times New Roman"/>
          <w:sz w:val="32"/>
          <w:szCs w:val="32"/>
          <w:lang w:eastAsia="zh-CN"/>
        </w:rPr>
        <w:t>投资有限公司</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乐至县建设投资有限责任</w:t>
      </w:r>
      <w:r>
        <w:rPr>
          <w:rFonts w:hint="default" w:ascii="Times New Roman" w:hAnsi="Times New Roman" w:eastAsia="仿宋_GB2312" w:cs="Times New Roman"/>
          <w:sz w:val="32"/>
          <w:szCs w:val="32"/>
        </w:rPr>
        <w:t>公司、</w:t>
      </w:r>
      <w:r>
        <w:rPr>
          <w:rFonts w:hint="default" w:ascii="Times New Roman" w:hAnsi="Times New Roman" w:eastAsia="仿宋_GB2312" w:cs="Times New Roman"/>
          <w:sz w:val="32"/>
          <w:szCs w:val="32"/>
          <w:lang w:eastAsia="zh-CN"/>
        </w:rPr>
        <w:t>乐至县</w:t>
      </w:r>
      <w:r>
        <w:rPr>
          <w:rFonts w:hint="default" w:ascii="Times New Roman" w:hAnsi="Times New Roman" w:eastAsia="仿宋_GB2312" w:cs="Times New Roman"/>
          <w:sz w:val="32"/>
          <w:szCs w:val="32"/>
        </w:rPr>
        <w:t>清源水务</w:t>
      </w:r>
      <w:r>
        <w:rPr>
          <w:rFonts w:hint="default" w:ascii="Times New Roman" w:hAnsi="Times New Roman" w:eastAsia="仿宋_GB2312" w:cs="Times New Roman"/>
          <w:sz w:val="32"/>
          <w:szCs w:val="32"/>
          <w:lang w:eastAsia="zh-CN"/>
        </w:rPr>
        <w:t>有限</w:t>
      </w:r>
      <w:r>
        <w:rPr>
          <w:rFonts w:hint="default" w:ascii="Times New Roman" w:hAnsi="Times New Roman" w:eastAsia="仿宋_GB2312" w:cs="Times New Roman"/>
          <w:sz w:val="32"/>
          <w:szCs w:val="32"/>
        </w:rPr>
        <w:t>公司。</w:t>
      </w:r>
    </w:p>
    <w:p>
      <w:pPr>
        <w:spacing w:line="580" w:lineRule="exact"/>
        <w:ind w:firstLine="643" w:firstLineChars="200"/>
        <w:rPr>
          <w:rFonts w:eastAsia="方正楷体简体"/>
          <w:b/>
          <w:sz w:val="32"/>
          <w:szCs w:val="32"/>
          <w:highlight w:val="none"/>
        </w:rPr>
      </w:pPr>
      <w:r>
        <w:rPr>
          <w:rFonts w:eastAsia="方正楷体简体"/>
          <w:b/>
          <w:sz w:val="32"/>
          <w:szCs w:val="32"/>
          <w:highlight w:val="none"/>
        </w:rPr>
        <w:t>（</w:t>
      </w:r>
      <w:r>
        <w:rPr>
          <w:rFonts w:hint="eastAsia" w:eastAsia="方正楷体简体"/>
          <w:b/>
          <w:sz w:val="32"/>
          <w:szCs w:val="32"/>
          <w:highlight w:val="none"/>
          <w:lang w:val="en-US" w:eastAsia="zh-CN"/>
        </w:rPr>
        <w:t>三</w:t>
      </w:r>
      <w:r>
        <w:rPr>
          <w:rFonts w:eastAsia="方正楷体简体"/>
          <w:b/>
          <w:sz w:val="32"/>
          <w:szCs w:val="32"/>
          <w:highlight w:val="none"/>
        </w:rPr>
        <w:t>）202</w:t>
      </w:r>
      <w:r>
        <w:rPr>
          <w:rFonts w:hint="eastAsia" w:eastAsia="方正楷体简体"/>
          <w:b/>
          <w:sz w:val="32"/>
          <w:szCs w:val="32"/>
          <w:highlight w:val="none"/>
        </w:rPr>
        <w:t>2</w:t>
      </w:r>
      <w:r>
        <w:rPr>
          <w:rFonts w:eastAsia="方正楷体简体"/>
          <w:b/>
          <w:sz w:val="32"/>
          <w:szCs w:val="32"/>
          <w:highlight w:val="none"/>
        </w:rPr>
        <w:t>年重点工作</w:t>
      </w:r>
    </w:p>
    <w:p>
      <w:pPr>
        <w:pageBreakBefore w:val="0"/>
        <w:kinsoku/>
        <w:wordWrap/>
        <w:overflowPunct/>
        <w:topLinePunct w:val="0"/>
        <w:autoSpaceDE/>
        <w:autoSpaceDN/>
        <w:bidi w:val="0"/>
        <w:adjustRightInd/>
        <w:snapToGrid/>
        <w:spacing w:line="590" w:lineRule="exact"/>
        <w:ind w:firstLine="640" w:firstLineChars="200"/>
        <w:textAlignment w:val="auto"/>
        <w:rPr>
          <w:rFonts w:eastAsia="仿宋"/>
          <w:b/>
          <w:color w:val="auto"/>
          <w:sz w:val="32"/>
          <w:szCs w:val="32"/>
          <w:highlight w:val="none"/>
        </w:rPr>
      </w:pPr>
      <w:r>
        <w:rPr>
          <w:rFonts w:hint="eastAsia" w:eastAsia="方正仿宋简体"/>
          <w:color w:val="auto"/>
          <w:sz w:val="32"/>
          <w:szCs w:val="32"/>
          <w:highlight w:val="none"/>
          <w:lang w:val="en-US" w:eastAsia="zh-CN"/>
        </w:rPr>
        <w:t>2022年</w:t>
      </w:r>
      <w:r>
        <w:rPr>
          <w:rFonts w:eastAsia="方正仿宋简体"/>
          <w:color w:val="auto"/>
          <w:sz w:val="32"/>
          <w:szCs w:val="32"/>
          <w:highlight w:val="none"/>
        </w:rPr>
        <w:t>我局将</w:t>
      </w:r>
      <w:r>
        <w:rPr>
          <w:rFonts w:hint="eastAsia" w:eastAsia="方正仿宋简体"/>
          <w:color w:val="auto"/>
          <w:sz w:val="32"/>
          <w:szCs w:val="32"/>
          <w:highlight w:val="none"/>
          <w:lang w:val="en-US" w:eastAsia="zh-CN"/>
        </w:rPr>
        <w:t>紧紧围绕“123344”总体谋划，着力于“三区三城”建设，</w:t>
      </w:r>
      <w:r>
        <w:rPr>
          <w:rFonts w:eastAsia="方正仿宋简体"/>
          <w:color w:val="auto"/>
          <w:sz w:val="32"/>
          <w:szCs w:val="32"/>
          <w:highlight w:val="none"/>
        </w:rPr>
        <w:t>主动创新，扎实工作，奋力推动各项工作再上新台阶，努力建设</w:t>
      </w:r>
      <w:r>
        <w:rPr>
          <w:rFonts w:hint="eastAsia" w:eastAsia="方正仿宋简体"/>
          <w:color w:val="auto"/>
          <w:sz w:val="32"/>
          <w:szCs w:val="32"/>
          <w:highlight w:val="none"/>
        </w:rPr>
        <w:t>宜居宜业之城</w:t>
      </w:r>
      <w:r>
        <w:rPr>
          <w:rFonts w:eastAsia="方正仿宋简体"/>
          <w:color w:val="auto"/>
          <w:sz w:val="32"/>
          <w:szCs w:val="32"/>
          <w:highlight w:val="none"/>
        </w:rPr>
        <w:t>。</w:t>
      </w:r>
    </w:p>
    <w:p>
      <w:pPr>
        <w:pageBreakBefore w:val="0"/>
        <w:kinsoku/>
        <w:wordWrap/>
        <w:overflowPunct/>
        <w:topLinePunct w:val="0"/>
        <w:autoSpaceDE/>
        <w:autoSpaceDN/>
        <w:bidi w:val="0"/>
        <w:adjustRightInd/>
        <w:snapToGrid/>
        <w:spacing w:line="590" w:lineRule="exact"/>
        <w:ind w:firstLine="643" w:firstLineChars="200"/>
        <w:textAlignment w:val="auto"/>
        <w:rPr>
          <w:rFonts w:hint="default" w:eastAsia="仿宋"/>
          <w:b/>
          <w:bCs/>
          <w:color w:val="auto"/>
          <w:sz w:val="32"/>
          <w:szCs w:val="32"/>
          <w:highlight w:val="none"/>
          <w:lang w:val="en-US" w:eastAsia="zh-CN"/>
        </w:rPr>
      </w:pPr>
      <w:r>
        <w:rPr>
          <w:rFonts w:hint="eastAsia" w:ascii="Times New Roman" w:hAnsi="Times New Roman" w:eastAsia="方正楷体简体" w:cs="Times New Roman"/>
          <w:b/>
          <w:color w:val="auto"/>
          <w:sz w:val="32"/>
          <w:szCs w:val="32"/>
          <w:highlight w:val="none"/>
          <w:lang w:eastAsia="zh-CN"/>
        </w:rPr>
        <w:t>（</w:t>
      </w:r>
      <w:r>
        <w:rPr>
          <w:rFonts w:hint="eastAsia" w:ascii="Times New Roman" w:hAnsi="Times New Roman" w:eastAsia="方正楷体简体" w:cs="Times New Roman"/>
          <w:b/>
          <w:color w:val="auto"/>
          <w:sz w:val="32"/>
          <w:szCs w:val="32"/>
          <w:highlight w:val="none"/>
          <w:lang w:val="en-US" w:eastAsia="zh-CN"/>
        </w:rPr>
        <w:t>一</w:t>
      </w:r>
      <w:r>
        <w:rPr>
          <w:rFonts w:hint="eastAsia" w:ascii="Times New Roman" w:hAnsi="Times New Roman" w:eastAsia="方正楷体简体" w:cs="Times New Roman"/>
          <w:b/>
          <w:color w:val="auto"/>
          <w:sz w:val="32"/>
          <w:szCs w:val="32"/>
          <w:highlight w:val="none"/>
          <w:lang w:eastAsia="zh-CN"/>
        </w:rPr>
        <w:t>）</w:t>
      </w:r>
      <w:r>
        <w:rPr>
          <w:rFonts w:ascii="Times New Roman" w:hAnsi="Times New Roman" w:eastAsia="方正楷体简体" w:cs="Times New Roman"/>
          <w:b/>
          <w:color w:val="auto"/>
          <w:sz w:val="32"/>
          <w:szCs w:val="32"/>
          <w:highlight w:val="none"/>
        </w:rPr>
        <w:t>提升城镇建设品质。</w:t>
      </w:r>
      <w:r>
        <w:rPr>
          <w:rFonts w:eastAsia="方正仿宋简体"/>
          <w:color w:val="auto"/>
          <w:sz w:val="32"/>
          <w:szCs w:val="32"/>
          <w:highlight w:val="none"/>
        </w:rPr>
        <w:t>紧紧围绕建设生态宜居县城目标，坚持“水系要扩面，山体要保护，绿化要增量，功能要齐全”的发展思路，加快构筑“一体两翼、多点支撑”城市发展格局，助推成渝中部绿色发展示范区建设。</w:t>
      </w:r>
      <w:r>
        <w:rPr>
          <w:rFonts w:eastAsia="方正仿宋简体"/>
          <w:b/>
          <w:bCs/>
          <w:color w:val="auto"/>
          <w:sz w:val="32"/>
          <w:szCs w:val="32"/>
          <w:highlight w:val="none"/>
        </w:rPr>
        <w:t>一是不断完善基础功能设施。</w:t>
      </w:r>
      <w:r>
        <w:rPr>
          <w:rFonts w:ascii="Times New Roman" w:hAnsi="Times New Roman" w:eastAsia="方正仿宋简体" w:cs="Times New Roman"/>
          <w:color w:val="auto"/>
          <w:sz w:val="32"/>
          <w:szCs w:val="32"/>
          <w:highlight w:val="none"/>
        </w:rPr>
        <w:t>加快推进</w:t>
      </w:r>
      <w:r>
        <w:rPr>
          <w:rFonts w:hint="eastAsia" w:ascii="Times New Roman" w:hAnsi="Times New Roman" w:eastAsia="方正仿宋简体" w:cs="Times New Roman"/>
          <w:color w:val="auto"/>
          <w:sz w:val="32"/>
          <w:szCs w:val="32"/>
          <w:highlight w:val="none"/>
          <w:lang w:eastAsia="zh-CN"/>
        </w:rPr>
        <w:t>文化体育中心、玉龙湖片区路网、内环线通道、双龙路、</w:t>
      </w:r>
      <w:r>
        <w:rPr>
          <w:rFonts w:hint="eastAsia" w:ascii="Times New Roman" w:hAnsi="Times New Roman" w:eastAsia="方正仿宋简体" w:cs="Times New Roman"/>
          <w:color w:val="auto"/>
          <w:sz w:val="32"/>
          <w:szCs w:val="32"/>
          <w:highlight w:val="none"/>
          <w:lang w:val="en-US" w:eastAsia="zh-CN"/>
        </w:rPr>
        <w:t>棉花湾片区路网一期、天童南路、应急救灾指挥中心、文峰大道北段桥梁拓宽、盐湖大道、</w:t>
      </w:r>
      <w:r>
        <w:rPr>
          <w:rFonts w:ascii="Times New Roman" w:hAnsi="Times New Roman" w:eastAsia="方正仿宋简体" w:cs="Times New Roman"/>
          <w:color w:val="auto"/>
          <w:sz w:val="32"/>
          <w:szCs w:val="32"/>
          <w:highlight w:val="none"/>
        </w:rPr>
        <w:t>遂资眉高速互通等18个停车场等</w:t>
      </w:r>
      <w:r>
        <w:rPr>
          <w:rFonts w:hint="eastAsia" w:ascii="Times New Roman" w:hAnsi="Times New Roman" w:eastAsia="方正仿宋简体" w:cs="Times New Roman"/>
          <w:color w:val="auto"/>
          <w:sz w:val="32"/>
          <w:szCs w:val="32"/>
          <w:highlight w:val="none"/>
          <w:lang w:val="en-US" w:eastAsia="zh-CN"/>
        </w:rPr>
        <w:t>基础设施</w:t>
      </w:r>
      <w:r>
        <w:rPr>
          <w:rFonts w:ascii="Times New Roman" w:hAnsi="Times New Roman" w:eastAsia="方正仿宋简体" w:cs="Times New Roman"/>
          <w:color w:val="auto"/>
          <w:sz w:val="32"/>
          <w:szCs w:val="32"/>
          <w:highlight w:val="none"/>
        </w:rPr>
        <w:t>建设，进一步拓展城区骨干路网，</w:t>
      </w:r>
      <w:r>
        <w:rPr>
          <w:rFonts w:hint="eastAsia" w:ascii="Times New Roman" w:hAnsi="Times New Roman" w:eastAsia="方正仿宋简体" w:cs="Times New Roman"/>
          <w:color w:val="auto"/>
          <w:sz w:val="32"/>
          <w:szCs w:val="32"/>
          <w:highlight w:val="none"/>
          <w:lang w:val="en-US" w:eastAsia="zh-CN"/>
        </w:rPr>
        <w:t>完善城市基础</w:t>
      </w:r>
      <w:r>
        <w:rPr>
          <w:rFonts w:ascii="Times New Roman" w:hAnsi="Times New Roman" w:eastAsia="方正仿宋简体" w:cs="Times New Roman"/>
          <w:color w:val="auto"/>
          <w:sz w:val="32"/>
          <w:szCs w:val="32"/>
          <w:highlight w:val="none"/>
        </w:rPr>
        <w:t>，努力构建外通内畅</w:t>
      </w:r>
      <w:r>
        <w:rPr>
          <w:rFonts w:hint="eastAsia" w:ascii="Times New Roman" w:hAnsi="Times New Roman" w:eastAsia="方正仿宋简体" w:cs="Times New Roman"/>
          <w:color w:val="auto"/>
          <w:sz w:val="32"/>
          <w:szCs w:val="32"/>
          <w:highlight w:val="none"/>
          <w:lang w:eastAsia="zh-CN"/>
        </w:rPr>
        <w:t>、</w:t>
      </w:r>
      <w:r>
        <w:rPr>
          <w:rFonts w:hint="eastAsia" w:ascii="Times New Roman" w:hAnsi="Times New Roman" w:eastAsia="方正仿宋简体" w:cs="Times New Roman"/>
          <w:color w:val="auto"/>
          <w:sz w:val="32"/>
          <w:szCs w:val="32"/>
          <w:highlight w:val="none"/>
          <w:lang w:val="en-US" w:eastAsia="zh-CN"/>
        </w:rPr>
        <w:t>功能完善</w:t>
      </w:r>
      <w:r>
        <w:rPr>
          <w:rFonts w:ascii="Times New Roman" w:hAnsi="Times New Roman" w:eastAsia="方正仿宋简体" w:cs="Times New Roman"/>
          <w:color w:val="auto"/>
          <w:sz w:val="32"/>
          <w:szCs w:val="32"/>
          <w:highlight w:val="none"/>
        </w:rPr>
        <w:t>的城市新格局。加快推进</w:t>
      </w:r>
      <w:r>
        <w:rPr>
          <w:rFonts w:hint="eastAsia" w:ascii="Times New Roman" w:hAnsi="Times New Roman" w:eastAsia="方正仿宋简体" w:cs="Times New Roman"/>
          <w:color w:val="auto"/>
          <w:sz w:val="32"/>
          <w:szCs w:val="32"/>
          <w:highlight w:val="none"/>
          <w:lang w:eastAsia="zh-CN"/>
        </w:rPr>
        <w:t>文化体育中心、电力公园及附属市政道路工程、</w:t>
      </w:r>
      <w:r>
        <w:rPr>
          <w:rFonts w:hint="eastAsia" w:ascii="Times New Roman" w:hAnsi="Times New Roman" w:eastAsia="方正仿宋简体" w:cs="Times New Roman"/>
          <w:color w:val="auto"/>
          <w:sz w:val="32"/>
          <w:szCs w:val="32"/>
          <w:highlight w:val="none"/>
        </w:rPr>
        <w:t>玉龙湖生态公园</w:t>
      </w:r>
      <w:r>
        <w:rPr>
          <w:rFonts w:ascii="Times New Roman" w:hAnsi="Times New Roman" w:eastAsia="方正仿宋简体" w:cs="Times New Roman"/>
          <w:color w:val="auto"/>
          <w:sz w:val="32"/>
          <w:szCs w:val="32"/>
          <w:highlight w:val="none"/>
        </w:rPr>
        <w:t>、望城公园</w:t>
      </w:r>
      <w:r>
        <w:rPr>
          <w:rFonts w:hint="eastAsia" w:ascii="Times New Roman" w:hAnsi="Times New Roman" w:eastAsia="方正仿宋简体" w:cs="Times New Roman"/>
          <w:color w:val="auto"/>
          <w:sz w:val="32"/>
          <w:szCs w:val="32"/>
          <w:highlight w:val="none"/>
          <w:lang w:val="en-US" w:eastAsia="zh-CN"/>
        </w:rPr>
        <w:t>等项目，提升城市居住舒适度，提高群众满意度。</w:t>
      </w:r>
      <w:r>
        <w:rPr>
          <w:rFonts w:eastAsia="方正仿宋简体"/>
          <w:b/>
          <w:bCs/>
          <w:color w:val="auto"/>
          <w:sz w:val="32"/>
          <w:szCs w:val="32"/>
          <w:highlight w:val="none"/>
        </w:rPr>
        <w:t>二是全力提升居民住房保障。</w:t>
      </w:r>
      <w:r>
        <w:rPr>
          <w:rFonts w:eastAsia="方正仿宋简体"/>
          <w:color w:val="auto"/>
          <w:sz w:val="32"/>
          <w:szCs w:val="32"/>
          <w:highlight w:val="none"/>
        </w:rPr>
        <w:t>加快202</w:t>
      </w:r>
      <w:r>
        <w:rPr>
          <w:rFonts w:hint="eastAsia" w:eastAsia="方正仿宋简体"/>
          <w:color w:val="auto"/>
          <w:sz w:val="32"/>
          <w:szCs w:val="32"/>
          <w:highlight w:val="none"/>
          <w:lang w:val="en-US" w:eastAsia="zh-CN"/>
        </w:rPr>
        <w:t>1</w:t>
      </w:r>
      <w:r>
        <w:rPr>
          <w:rFonts w:eastAsia="方正仿宋简体"/>
          <w:color w:val="auto"/>
          <w:sz w:val="32"/>
          <w:szCs w:val="32"/>
          <w:highlight w:val="none"/>
        </w:rPr>
        <w:t>年老旧小区改造步伐，力争按照规定时间节点完工；</w:t>
      </w:r>
      <w:r>
        <w:rPr>
          <w:rFonts w:hint="eastAsia" w:eastAsia="方正仿宋简体"/>
          <w:color w:val="auto"/>
          <w:sz w:val="32"/>
          <w:szCs w:val="32"/>
          <w:highlight w:val="none"/>
        </w:rPr>
        <w:t>全面推进36个小区3195户老旧小区的进场施工等工作</w:t>
      </w:r>
      <w:r>
        <w:rPr>
          <w:rFonts w:eastAsia="方正仿宋简体"/>
          <w:color w:val="auto"/>
          <w:sz w:val="32"/>
          <w:szCs w:val="32"/>
          <w:highlight w:val="none"/>
        </w:rPr>
        <w:t>。有序推进报国寺二期、棉花湾二期、二绸厂A区等在建安置房及配套设施建设；加快推进棚改四期前期工作，</w:t>
      </w:r>
      <w:r>
        <w:rPr>
          <w:rFonts w:hint="eastAsia" w:eastAsia="方正仿宋简体"/>
          <w:color w:val="auto"/>
          <w:sz w:val="32"/>
          <w:szCs w:val="32"/>
          <w:highlight w:val="none"/>
          <w:lang w:val="en-US" w:eastAsia="zh-CN"/>
        </w:rPr>
        <w:t>持续推进</w:t>
      </w:r>
      <w:r>
        <w:rPr>
          <w:rFonts w:eastAsia="方正仿宋简体"/>
          <w:color w:val="auto"/>
          <w:sz w:val="32"/>
          <w:szCs w:val="32"/>
          <w:highlight w:val="none"/>
        </w:rPr>
        <w:t>两个安置点施工</w:t>
      </w:r>
      <w:r>
        <w:rPr>
          <w:rFonts w:hint="eastAsia" w:eastAsia="方正仿宋简体"/>
          <w:color w:val="auto"/>
          <w:sz w:val="32"/>
          <w:szCs w:val="32"/>
          <w:highlight w:val="none"/>
          <w:lang w:val="en-US" w:eastAsia="zh-CN"/>
        </w:rPr>
        <w:t>建设</w:t>
      </w:r>
      <w:r>
        <w:rPr>
          <w:rFonts w:eastAsia="方正仿宋简体"/>
          <w:color w:val="auto"/>
          <w:sz w:val="32"/>
          <w:szCs w:val="32"/>
          <w:highlight w:val="none"/>
        </w:rPr>
        <w:t>。</w:t>
      </w:r>
      <w:r>
        <w:rPr>
          <w:rFonts w:eastAsia="方正仿宋简体"/>
          <w:b/>
          <w:bCs/>
          <w:color w:val="auto"/>
          <w:sz w:val="32"/>
          <w:szCs w:val="32"/>
          <w:highlight w:val="none"/>
        </w:rPr>
        <w:t>三是持续抓好中心镇建设。</w:t>
      </w:r>
      <w:r>
        <w:rPr>
          <w:rFonts w:hint="eastAsia" w:ascii="仿宋" w:hAnsi="仿宋" w:eastAsia="仿宋" w:cs="仿宋"/>
          <w:color w:val="auto"/>
          <w:sz w:val="32"/>
          <w:szCs w:val="32"/>
          <w:highlight w:val="none"/>
          <w:lang w:eastAsia="zh-CN"/>
        </w:rPr>
        <w:t>按照宜农则农、宜商则商、宜旅则旅的原则分类打造“</w:t>
      </w:r>
      <w:r>
        <w:rPr>
          <w:rFonts w:hint="eastAsia" w:ascii="仿宋" w:hAnsi="仿宋" w:eastAsia="仿宋" w:cs="仿宋"/>
          <w:color w:val="auto"/>
          <w:sz w:val="32"/>
          <w:szCs w:val="32"/>
          <w:highlight w:val="none"/>
          <w:lang w:val="en-US" w:eastAsia="zh-CN"/>
        </w:rPr>
        <w:t>多点支撑</w:t>
      </w:r>
      <w:r>
        <w:rPr>
          <w:rFonts w:hint="eastAsia" w:ascii="仿宋" w:hAnsi="仿宋" w:eastAsia="仿宋" w:cs="仿宋"/>
          <w:color w:val="auto"/>
          <w:sz w:val="32"/>
          <w:szCs w:val="32"/>
          <w:highlight w:val="none"/>
          <w:lang w:eastAsia="zh-CN"/>
        </w:rPr>
        <w:t>”小城镇发展新格局。以劳动镇、高寺镇成功备案入库“省级百强中心镇”为契机，建成一批产业“特而强”、功能“聚而合”、形态“精而美”、机制“新而活”的中心镇、重点镇，积极构建现代城镇体系。</w:t>
      </w:r>
      <w:r>
        <w:rPr>
          <w:rFonts w:eastAsia="方正仿宋简体"/>
          <w:b/>
          <w:bCs/>
          <w:color w:val="auto"/>
          <w:sz w:val="32"/>
          <w:szCs w:val="32"/>
          <w:highlight w:val="none"/>
        </w:rPr>
        <w:t>四</w:t>
      </w:r>
      <w:r>
        <w:rPr>
          <w:rFonts w:hint="eastAsia" w:ascii="Times New Roman" w:hAnsi="Times New Roman" w:eastAsia="仿宋" w:cs="Times New Roman"/>
          <w:b/>
          <w:bCs/>
          <w:color w:val="auto"/>
          <w:sz w:val="32"/>
          <w:szCs w:val="32"/>
          <w:highlight w:val="none"/>
          <w:lang w:val="en-US" w:eastAsia="zh-CN"/>
        </w:rPr>
        <w:t>是塑造城市优美环境。</w:t>
      </w:r>
      <w:r>
        <w:rPr>
          <w:rFonts w:hint="default" w:ascii="Times New Roman" w:hAnsi="Times New Roman" w:eastAsia="仿宋" w:cs="Times New Roman"/>
          <w:color w:val="auto"/>
          <w:sz w:val="32"/>
          <w:szCs w:val="32"/>
          <w:highlight w:val="none"/>
          <w:lang w:val="en-US" w:eastAsia="zh-CN"/>
        </w:rPr>
        <w:t>启动建设城河改造和毗河城市生态绿廊、猫儿山和笔</w:t>
      </w:r>
      <w:r>
        <w:rPr>
          <w:rFonts w:hint="eastAsia" w:ascii="Times New Roman" w:hAnsi="Times New Roman" w:eastAsia="仿宋" w:cs="Times New Roman"/>
          <w:color w:val="auto"/>
          <w:sz w:val="32"/>
          <w:szCs w:val="32"/>
          <w:highlight w:val="none"/>
          <w:lang w:val="en-US" w:eastAsia="zh-CN"/>
        </w:rPr>
        <w:t>架山生态公园、东湖和盐湖生态湿地，提质打造南塔山和娑婆山生态公园、南湖和玉龙湖生态湿地，构建“两河连四湖、四湖映四山”城市生态格局。着力塑造“山水呼应、蓝绿相映、河湖环绕、清新明亮”的城市形象。</w:t>
      </w:r>
      <w:r>
        <w:rPr>
          <w:rFonts w:hint="eastAsia" w:ascii="方正仿宋_GBK" w:hAnsi="方正仿宋_GBK" w:eastAsia="方正仿宋_GBK" w:cs="方正仿宋_GBK"/>
          <w:color w:val="auto"/>
          <w:kern w:val="0"/>
          <w:sz w:val="32"/>
          <w:szCs w:val="32"/>
          <w:highlight w:val="none"/>
          <w:lang w:val="en-US" w:eastAsia="zh-CN" w:bidi="ar"/>
        </w:rPr>
        <w:t xml:space="preserve"> </w:t>
      </w:r>
    </w:p>
    <w:p>
      <w:pPr>
        <w:pageBreakBefore w:val="0"/>
        <w:kinsoku/>
        <w:wordWrap/>
        <w:overflowPunct/>
        <w:topLinePunct w:val="0"/>
        <w:autoSpaceDE/>
        <w:autoSpaceDN/>
        <w:bidi w:val="0"/>
        <w:adjustRightInd/>
        <w:snapToGrid/>
        <w:spacing w:line="590" w:lineRule="exact"/>
        <w:ind w:firstLine="630" w:firstLineChars="196"/>
        <w:textAlignment w:val="auto"/>
        <w:rPr>
          <w:rFonts w:hint="eastAsia" w:eastAsia="方正仿宋简体"/>
          <w:color w:val="auto"/>
          <w:sz w:val="32"/>
          <w:szCs w:val="32"/>
          <w:highlight w:val="none"/>
          <w:lang w:val="en-US" w:eastAsia="zh-CN"/>
        </w:rPr>
      </w:pPr>
      <w:r>
        <w:rPr>
          <w:rFonts w:hint="eastAsia" w:ascii="Times New Roman" w:hAnsi="Times New Roman" w:eastAsia="方正楷体简体" w:cs="Times New Roman"/>
          <w:b/>
          <w:color w:val="auto"/>
          <w:sz w:val="32"/>
          <w:szCs w:val="32"/>
          <w:highlight w:val="none"/>
          <w:lang w:eastAsia="zh-CN"/>
        </w:rPr>
        <w:t>（</w:t>
      </w:r>
      <w:r>
        <w:rPr>
          <w:rFonts w:hint="eastAsia" w:ascii="Times New Roman" w:hAnsi="Times New Roman" w:eastAsia="方正楷体简体" w:cs="Times New Roman"/>
          <w:b/>
          <w:color w:val="auto"/>
          <w:sz w:val="32"/>
          <w:szCs w:val="32"/>
          <w:highlight w:val="none"/>
          <w:lang w:val="en-US" w:eastAsia="zh-CN"/>
        </w:rPr>
        <w:t>二</w:t>
      </w:r>
      <w:r>
        <w:rPr>
          <w:rFonts w:hint="eastAsia" w:ascii="Times New Roman" w:hAnsi="Times New Roman" w:eastAsia="方正楷体简体" w:cs="Times New Roman"/>
          <w:b/>
          <w:color w:val="auto"/>
          <w:sz w:val="32"/>
          <w:szCs w:val="32"/>
          <w:highlight w:val="none"/>
          <w:lang w:eastAsia="zh-CN"/>
        </w:rPr>
        <w:t>）</w:t>
      </w:r>
      <w:r>
        <w:rPr>
          <w:rFonts w:ascii="Times New Roman" w:hAnsi="Times New Roman" w:eastAsia="方正楷体简体" w:cs="Times New Roman"/>
          <w:b/>
          <w:color w:val="auto"/>
          <w:sz w:val="32"/>
          <w:szCs w:val="32"/>
          <w:highlight w:val="none"/>
        </w:rPr>
        <w:t>改善城市生态环境。</w:t>
      </w:r>
      <w:r>
        <w:rPr>
          <w:rFonts w:hint="eastAsia" w:eastAsia="方正仿宋简体"/>
          <w:b/>
          <w:color w:val="auto"/>
          <w:sz w:val="32"/>
          <w:szCs w:val="32"/>
          <w:highlight w:val="none"/>
          <w:lang w:val="en-US" w:eastAsia="zh-CN"/>
        </w:rPr>
        <w:t>一是</w:t>
      </w:r>
      <w:r>
        <w:rPr>
          <w:rFonts w:eastAsia="方正仿宋简体"/>
          <w:b/>
          <w:bCs/>
          <w:color w:val="auto"/>
          <w:sz w:val="32"/>
          <w:szCs w:val="32"/>
          <w:highlight w:val="none"/>
        </w:rPr>
        <w:t>提升</w:t>
      </w:r>
      <w:r>
        <w:rPr>
          <w:rFonts w:hint="eastAsia" w:eastAsia="方正仿宋简体"/>
          <w:b/>
          <w:bCs/>
          <w:color w:val="auto"/>
          <w:sz w:val="32"/>
          <w:szCs w:val="32"/>
          <w:highlight w:val="none"/>
          <w:lang w:val="en-US" w:eastAsia="zh-CN"/>
        </w:rPr>
        <w:t>水生态</w:t>
      </w:r>
      <w:r>
        <w:rPr>
          <w:rFonts w:eastAsia="方正仿宋简体"/>
          <w:b/>
          <w:bCs/>
          <w:color w:val="auto"/>
          <w:sz w:val="32"/>
          <w:szCs w:val="32"/>
          <w:highlight w:val="none"/>
        </w:rPr>
        <w:t>环境。</w:t>
      </w:r>
      <w:r>
        <w:rPr>
          <w:rFonts w:eastAsia="方正仿宋简体"/>
          <w:color w:val="auto"/>
          <w:sz w:val="32"/>
          <w:szCs w:val="32"/>
          <w:highlight w:val="none"/>
        </w:rPr>
        <w:t>继续强化部分对全县供排水行业的业务指导和监管。严格</w:t>
      </w:r>
      <w:r>
        <w:rPr>
          <w:rFonts w:hint="eastAsia" w:eastAsia="方正仿宋简体"/>
          <w:color w:val="auto"/>
          <w:sz w:val="32"/>
          <w:szCs w:val="32"/>
          <w:highlight w:val="none"/>
          <w:lang w:val="en-US" w:eastAsia="zh-CN"/>
        </w:rPr>
        <w:t>落实</w:t>
      </w:r>
      <w:r>
        <w:rPr>
          <w:rFonts w:eastAsia="方正仿宋简体"/>
          <w:color w:val="auto"/>
          <w:sz w:val="32"/>
          <w:szCs w:val="32"/>
          <w:highlight w:val="none"/>
        </w:rPr>
        <w:t>对仁和环保公司污水处理</w:t>
      </w:r>
      <w:r>
        <w:rPr>
          <w:rFonts w:hint="eastAsia" w:eastAsia="方正仿宋简体"/>
          <w:color w:val="auto"/>
          <w:sz w:val="32"/>
          <w:szCs w:val="32"/>
          <w:highlight w:val="none"/>
          <w:lang w:val="en-US" w:eastAsia="zh-CN"/>
        </w:rPr>
        <w:t>监督</w:t>
      </w:r>
      <w:r>
        <w:rPr>
          <w:rFonts w:eastAsia="方正仿宋简体"/>
          <w:color w:val="auto"/>
          <w:sz w:val="32"/>
          <w:szCs w:val="32"/>
          <w:highlight w:val="none"/>
        </w:rPr>
        <w:t>工作，重点监管和控制汛期溢流污水直流</w:t>
      </w:r>
      <w:r>
        <w:rPr>
          <w:rFonts w:hint="eastAsia" w:eastAsia="方正仿宋简体"/>
          <w:color w:val="auto"/>
          <w:sz w:val="32"/>
          <w:szCs w:val="32"/>
          <w:highlight w:val="none"/>
          <w:lang w:eastAsia="zh-CN"/>
        </w:rPr>
        <w:t>。</w:t>
      </w:r>
      <w:r>
        <w:rPr>
          <w:rFonts w:eastAsia="方正仿宋简体"/>
          <w:color w:val="auto"/>
          <w:sz w:val="32"/>
          <w:szCs w:val="32"/>
          <w:highlight w:val="none"/>
        </w:rPr>
        <w:t>强化和督促改善童家河水质项目的高质量运行，落实问题整改，持续改善童家河水质环境。强化城市黑臭水体整治，大力整治河道沿线排污管，清除县城区城河河底淤泥。加快推进乐至县乡镇集中供水站及配套管网建设工程进度，重点推动新建的3座自来水厂和扩建的5座自来水厂建设。</w:t>
      </w:r>
      <w:r>
        <w:rPr>
          <w:rFonts w:hint="eastAsia" w:eastAsia="方正仿宋简体"/>
          <w:b/>
          <w:bCs/>
          <w:color w:val="auto"/>
          <w:sz w:val="32"/>
          <w:szCs w:val="32"/>
          <w:highlight w:val="none"/>
          <w:lang w:val="en-US" w:eastAsia="zh-CN"/>
        </w:rPr>
        <w:t>二是强化城市扬尘治理。</w:t>
      </w:r>
      <w:r>
        <w:rPr>
          <w:rFonts w:eastAsia="方正仿宋简体"/>
          <w:color w:val="auto"/>
          <w:sz w:val="32"/>
          <w:szCs w:val="32"/>
          <w:highlight w:val="none"/>
        </w:rPr>
        <w:t>按照扬尘污染防治“六必须六不准”要求，持续加强监督力度，严格落实建筑施工工地大气污染防治工作</w:t>
      </w:r>
      <w:r>
        <w:rPr>
          <w:rFonts w:hint="eastAsia" w:eastAsia="方正仿宋简体"/>
          <w:color w:val="auto"/>
          <w:sz w:val="32"/>
          <w:szCs w:val="32"/>
          <w:highlight w:val="none"/>
          <w:lang w:eastAsia="zh-CN"/>
        </w:rPr>
        <w:t>，</w:t>
      </w:r>
      <w:r>
        <w:rPr>
          <w:rFonts w:eastAsia="方正仿宋简体"/>
          <w:color w:val="auto"/>
          <w:sz w:val="32"/>
          <w:szCs w:val="32"/>
          <w:highlight w:val="none"/>
        </w:rPr>
        <w:t>对覆盖</w:t>
      </w:r>
      <w:r>
        <w:rPr>
          <w:rFonts w:hint="eastAsia" w:eastAsia="方正仿宋简体"/>
          <w:color w:val="auto"/>
          <w:sz w:val="32"/>
          <w:szCs w:val="32"/>
          <w:highlight w:val="none"/>
          <w:lang w:val="en-US" w:eastAsia="zh-CN"/>
        </w:rPr>
        <w:t>完成的</w:t>
      </w:r>
      <w:r>
        <w:rPr>
          <w:rFonts w:eastAsia="方正仿宋简体"/>
          <w:color w:val="auto"/>
          <w:sz w:val="32"/>
          <w:szCs w:val="32"/>
          <w:highlight w:val="none"/>
        </w:rPr>
        <w:t>城区裸露山体</w:t>
      </w:r>
      <w:r>
        <w:rPr>
          <w:rFonts w:hint="eastAsia" w:eastAsia="方正仿宋简体"/>
          <w:color w:val="auto"/>
          <w:sz w:val="32"/>
          <w:szCs w:val="32"/>
          <w:highlight w:val="none"/>
          <w:lang w:val="en-US" w:eastAsia="zh-CN"/>
        </w:rPr>
        <w:t>实施动态监控</w:t>
      </w:r>
      <w:r>
        <w:rPr>
          <w:rFonts w:eastAsia="方正仿宋简体"/>
          <w:color w:val="auto"/>
          <w:sz w:val="32"/>
          <w:szCs w:val="32"/>
          <w:highlight w:val="none"/>
        </w:rPr>
        <w:t>，有效防治扬尘污染，改善周边环境质量，为群众创造良好舒适的生活居住环境。</w:t>
      </w:r>
    </w:p>
    <w:p>
      <w:pPr>
        <w:pageBreakBefore w:val="0"/>
        <w:kinsoku/>
        <w:wordWrap/>
        <w:overflowPunct/>
        <w:topLinePunct w:val="0"/>
        <w:autoSpaceDE/>
        <w:autoSpaceDN/>
        <w:bidi w:val="0"/>
        <w:adjustRightInd/>
        <w:snapToGrid/>
        <w:spacing w:line="590" w:lineRule="exact"/>
        <w:ind w:firstLine="630" w:firstLineChars="196"/>
        <w:textAlignment w:val="auto"/>
        <w:rPr>
          <w:rFonts w:eastAsia="方正仿宋简体"/>
          <w:color w:val="auto"/>
          <w:sz w:val="32"/>
          <w:szCs w:val="32"/>
          <w:highlight w:val="none"/>
        </w:rPr>
      </w:pPr>
      <w:r>
        <w:rPr>
          <w:rFonts w:hint="eastAsia" w:ascii="Times New Roman" w:hAnsi="Times New Roman" w:eastAsia="方正楷体简体" w:cs="Times New Roman"/>
          <w:b/>
          <w:color w:val="auto"/>
          <w:sz w:val="32"/>
          <w:szCs w:val="32"/>
          <w:highlight w:val="none"/>
          <w:lang w:eastAsia="zh-CN"/>
        </w:rPr>
        <w:t>（</w:t>
      </w:r>
      <w:r>
        <w:rPr>
          <w:rFonts w:hint="eastAsia" w:ascii="Times New Roman" w:hAnsi="Times New Roman" w:eastAsia="方正楷体简体" w:cs="Times New Roman"/>
          <w:b/>
          <w:color w:val="auto"/>
          <w:sz w:val="32"/>
          <w:szCs w:val="32"/>
          <w:highlight w:val="none"/>
          <w:lang w:val="en-US" w:eastAsia="zh-CN"/>
        </w:rPr>
        <w:t>三</w:t>
      </w:r>
      <w:r>
        <w:rPr>
          <w:rFonts w:hint="eastAsia" w:ascii="Times New Roman" w:hAnsi="Times New Roman" w:eastAsia="方正楷体简体" w:cs="Times New Roman"/>
          <w:b/>
          <w:color w:val="auto"/>
          <w:sz w:val="32"/>
          <w:szCs w:val="32"/>
          <w:highlight w:val="none"/>
          <w:lang w:eastAsia="zh-CN"/>
        </w:rPr>
        <w:t>）</w:t>
      </w:r>
      <w:r>
        <w:rPr>
          <w:rFonts w:ascii="Times New Roman" w:hAnsi="Times New Roman" w:eastAsia="方正楷体简体" w:cs="Times New Roman"/>
          <w:b/>
          <w:color w:val="auto"/>
          <w:sz w:val="32"/>
          <w:szCs w:val="32"/>
          <w:highlight w:val="none"/>
        </w:rPr>
        <w:t>消除隐患抓好防范。</w:t>
      </w:r>
      <w:r>
        <w:rPr>
          <w:rFonts w:hint="eastAsia" w:eastAsia="方正仿宋简体"/>
          <w:b/>
          <w:bCs w:val="0"/>
          <w:color w:val="auto"/>
          <w:sz w:val="32"/>
          <w:szCs w:val="32"/>
          <w:highlight w:val="none"/>
          <w:lang w:val="en-US" w:eastAsia="zh-CN"/>
        </w:rPr>
        <w:t>一是抓好</w:t>
      </w:r>
      <w:r>
        <w:rPr>
          <w:rFonts w:eastAsia="方正仿宋简体"/>
          <w:b/>
          <w:bCs w:val="0"/>
          <w:color w:val="auto"/>
          <w:sz w:val="32"/>
          <w:szCs w:val="32"/>
          <w:highlight w:val="none"/>
        </w:rPr>
        <w:t>在建工地施工安全。</w:t>
      </w:r>
      <w:r>
        <w:rPr>
          <w:rFonts w:eastAsia="方正仿宋简体"/>
          <w:color w:val="auto"/>
          <w:sz w:val="32"/>
          <w:szCs w:val="32"/>
          <w:highlight w:val="none"/>
        </w:rPr>
        <w:t>严格落实安全生产责任，层层签订安全生产责任书，强化安全生产目标管理考评，加强安全生产过程管理。开展起重机械、支模架、临电等专项整治和建筑施工“打非治违”活动，加强安全生产监督管理，严厉查处建筑施工违法违规行为。牢固树立“抓培训就是保安全”的意识，坚持全员培训与重点培训相结合、安全业务培训与新技术普及教育相结合。按照“横向到边，纵向到底”应急预案体系的要求，切实抓好应急预案的编制和管理工作。</w:t>
      </w:r>
      <w:r>
        <w:rPr>
          <w:rFonts w:hint="eastAsia" w:eastAsia="方正仿宋简体"/>
          <w:b/>
          <w:bCs/>
          <w:color w:val="auto"/>
          <w:sz w:val="32"/>
          <w:szCs w:val="32"/>
          <w:highlight w:val="none"/>
          <w:lang w:val="en-US" w:eastAsia="zh-CN"/>
        </w:rPr>
        <w:t>二是保障</w:t>
      </w:r>
      <w:r>
        <w:rPr>
          <w:rFonts w:eastAsia="方正仿宋简体"/>
          <w:b/>
          <w:bCs/>
          <w:color w:val="auto"/>
          <w:sz w:val="32"/>
          <w:szCs w:val="32"/>
          <w:highlight w:val="none"/>
        </w:rPr>
        <w:t>城镇燃气</w:t>
      </w:r>
      <w:r>
        <w:rPr>
          <w:rFonts w:hint="eastAsia" w:eastAsia="方正仿宋简体"/>
          <w:b/>
          <w:bCs/>
          <w:color w:val="auto"/>
          <w:sz w:val="32"/>
          <w:szCs w:val="32"/>
          <w:highlight w:val="none"/>
          <w:lang w:val="en-US" w:eastAsia="zh-CN"/>
        </w:rPr>
        <w:t>使用</w:t>
      </w:r>
      <w:r>
        <w:rPr>
          <w:rFonts w:eastAsia="方正仿宋简体"/>
          <w:b/>
          <w:bCs/>
          <w:color w:val="auto"/>
          <w:sz w:val="32"/>
          <w:szCs w:val="32"/>
          <w:highlight w:val="none"/>
        </w:rPr>
        <w:t>安全。</w:t>
      </w:r>
      <w:r>
        <w:rPr>
          <w:rFonts w:hint="eastAsia" w:eastAsia="方正仿宋简体"/>
          <w:b w:val="0"/>
          <w:bCs w:val="0"/>
          <w:color w:val="auto"/>
          <w:sz w:val="32"/>
          <w:szCs w:val="32"/>
          <w:highlight w:val="none"/>
          <w:lang w:val="en-US" w:eastAsia="zh-CN"/>
        </w:rPr>
        <w:t>督</w:t>
      </w:r>
      <w:r>
        <w:rPr>
          <w:rFonts w:eastAsia="方正仿宋简体"/>
          <w:color w:val="auto"/>
          <w:sz w:val="32"/>
          <w:szCs w:val="32"/>
          <w:highlight w:val="none"/>
        </w:rPr>
        <w:t>促企业进一步强化燃气安全知识的教育，加大对用户燃气安全知识的宣传工作；及时学习传达省、市相关文件精神，认真编制工作方案、安排工作任务。继续加强燃气安全集中整治工作，监管各燃气企业严格落实安全生产主体责任，督促燃气企业进行安全自查，做好违规占压燃气管整治行动落实安全生产工作。</w:t>
      </w:r>
      <w:r>
        <w:rPr>
          <w:rFonts w:hint="eastAsia" w:eastAsia="方正仿宋简体"/>
          <w:color w:val="auto"/>
          <w:sz w:val="32"/>
          <w:szCs w:val="32"/>
          <w:highlight w:val="none"/>
          <w:lang w:val="en-US" w:eastAsia="zh-CN"/>
        </w:rPr>
        <w:t>常态</w:t>
      </w:r>
      <w:r>
        <w:rPr>
          <w:rFonts w:eastAsia="方正仿宋简体"/>
          <w:color w:val="auto"/>
          <w:sz w:val="32"/>
          <w:szCs w:val="32"/>
          <w:highlight w:val="none"/>
        </w:rPr>
        <w:t>检查和</w:t>
      </w:r>
      <w:r>
        <w:rPr>
          <w:rFonts w:hint="eastAsia" w:eastAsia="方正仿宋简体"/>
          <w:color w:val="auto"/>
          <w:sz w:val="32"/>
          <w:szCs w:val="32"/>
          <w:highlight w:val="none"/>
          <w:lang w:val="en-US" w:eastAsia="zh-CN"/>
        </w:rPr>
        <w:t>节前</w:t>
      </w:r>
      <w:r>
        <w:rPr>
          <w:rFonts w:eastAsia="方正仿宋简体"/>
          <w:color w:val="auto"/>
          <w:sz w:val="32"/>
          <w:szCs w:val="32"/>
          <w:highlight w:val="none"/>
        </w:rPr>
        <w:t>大检查</w:t>
      </w:r>
      <w:r>
        <w:rPr>
          <w:rFonts w:hint="eastAsia" w:eastAsia="方正仿宋简体"/>
          <w:color w:val="auto"/>
          <w:sz w:val="32"/>
          <w:szCs w:val="32"/>
          <w:highlight w:val="none"/>
          <w:lang w:val="en-US" w:eastAsia="zh-CN"/>
        </w:rPr>
        <w:t>相结合</w:t>
      </w:r>
      <w:r>
        <w:rPr>
          <w:rFonts w:eastAsia="方正仿宋简体"/>
          <w:color w:val="auto"/>
          <w:sz w:val="32"/>
          <w:szCs w:val="32"/>
          <w:highlight w:val="none"/>
        </w:rPr>
        <w:t>，加强巡检力度，全面落实监管整改措施，加大督办力度，并督促企业加强对安全检查中发现问题的整改</w:t>
      </w:r>
      <w:r>
        <w:rPr>
          <w:rFonts w:hint="eastAsia" w:eastAsia="方正仿宋简体"/>
          <w:color w:val="auto"/>
          <w:sz w:val="32"/>
          <w:szCs w:val="32"/>
          <w:highlight w:val="none"/>
          <w:lang w:eastAsia="zh-CN"/>
        </w:rPr>
        <w:t>。</w:t>
      </w:r>
      <w:r>
        <w:rPr>
          <w:rFonts w:hint="eastAsia" w:eastAsia="方正仿宋简体"/>
          <w:b/>
          <w:bCs/>
          <w:color w:val="auto"/>
          <w:sz w:val="32"/>
          <w:szCs w:val="32"/>
          <w:highlight w:val="none"/>
          <w:lang w:val="en-US" w:eastAsia="zh-CN"/>
        </w:rPr>
        <w:t>三是做好</w:t>
      </w:r>
      <w:r>
        <w:rPr>
          <w:rFonts w:eastAsia="方正仿宋简体"/>
          <w:b/>
          <w:bCs/>
          <w:color w:val="auto"/>
          <w:sz w:val="32"/>
          <w:szCs w:val="32"/>
          <w:highlight w:val="none"/>
        </w:rPr>
        <w:t>城市防涝减灾</w:t>
      </w:r>
      <w:r>
        <w:rPr>
          <w:rFonts w:hint="eastAsia" w:eastAsia="方正仿宋简体"/>
          <w:b/>
          <w:bCs/>
          <w:color w:val="auto"/>
          <w:sz w:val="32"/>
          <w:szCs w:val="32"/>
          <w:highlight w:val="none"/>
          <w:lang w:val="en-US" w:eastAsia="zh-CN"/>
        </w:rPr>
        <w:t>工作</w:t>
      </w:r>
      <w:r>
        <w:rPr>
          <w:rFonts w:eastAsia="方正仿宋简体"/>
          <w:b/>
          <w:bCs/>
          <w:color w:val="auto"/>
          <w:sz w:val="32"/>
          <w:szCs w:val="32"/>
          <w:highlight w:val="none"/>
        </w:rPr>
        <w:t>。</w:t>
      </w:r>
      <w:r>
        <w:rPr>
          <w:rFonts w:eastAsia="方正仿宋简体"/>
          <w:color w:val="auto"/>
          <w:sz w:val="32"/>
          <w:szCs w:val="32"/>
          <w:highlight w:val="none"/>
        </w:rPr>
        <w:t>科学合理研判应急物资需求，备齐防汛沙袋、钢钎、铁铲、电筒、雨衣、雨鞋等各类防汛物资，确保物资数量充足、质量可靠；加大防洪度汛抢险应急演练和业务培训力度，明确专人保管、发放、使用防汛物资。严格执行汛期领导带班、24小时值班制度，为县城区汛期安全提供有力保障，提高事故防范和应急处置能力。严格落实防汛隐患排查，对城市雨水管网、排水沟、城河等排水设施及易涝区域进行拉网式、常态化排查，全面掌握城区排水设施运行状况，建立问题台帐，及时修复各类“带病”设施，动态清零，实施“销号”整改，切实保障群众“脚下安全”。</w:t>
      </w:r>
    </w:p>
    <w:p>
      <w:pPr>
        <w:pageBreakBefore w:val="0"/>
        <w:kinsoku/>
        <w:wordWrap/>
        <w:overflowPunct/>
        <w:topLinePunct w:val="0"/>
        <w:autoSpaceDE/>
        <w:autoSpaceDN/>
        <w:bidi w:val="0"/>
        <w:adjustRightInd/>
        <w:snapToGrid/>
        <w:spacing w:line="590" w:lineRule="exact"/>
        <w:ind w:firstLine="630" w:firstLineChars="196"/>
        <w:textAlignment w:val="auto"/>
        <w:rPr>
          <w:rFonts w:eastAsia="方正仿宋简体"/>
          <w:color w:val="auto"/>
          <w:sz w:val="32"/>
          <w:szCs w:val="32"/>
          <w:highlight w:val="none"/>
        </w:rPr>
      </w:pPr>
      <w:r>
        <w:rPr>
          <w:rFonts w:hint="eastAsia" w:ascii="Times New Roman" w:hAnsi="Times New Roman" w:eastAsia="方正楷体简体" w:cs="Times New Roman"/>
          <w:b/>
          <w:color w:val="auto"/>
          <w:sz w:val="32"/>
          <w:szCs w:val="32"/>
          <w:highlight w:val="none"/>
          <w:lang w:eastAsia="zh-CN"/>
        </w:rPr>
        <w:t>（</w:t>
      </w:r>
      <w:r>
        <w:rPr>
          <w:rFonts w:hint="eastAsia" w:ascii="Times New Roman" w:hAnsi="Times New Roman" w:eastAsia="方正楷体简体" w:cs="Times New Roman"/>
          <w:b/>
          <w:color w:val="auto"/>
          <w:sz w:val="32"/>
          <w:szCs w:val="32"/>
          <w:highlight w:val="none"/>
          <w:lang w:val="en-US" w:eastAsia="zh-CN"/>
        </w:rPr>
        <w:t>四</w:t>
      </w:r>
      <w:r>
        <w:rPr>
          <w:rFonts w:hint="eastAsia" w:ascii="Times New Roman" w:hAnsi="Times New Roman" w:eastAsia="方正楷体简体" w:cs="Times New Roman"/>
          <w:b/>
          <w:color w:val="auto"/>
          <w:sz w:val="32"/>
          <w:szCs w:val="32"/>
          <w:highlight w:val="none"/>
          <w:lang w:eastAsia="zh-CN"/>
        </w:rPr>
        <w:t>）</w:t>
      </w:r>
      <w:r>
        <w:rPr>
          <w:rFonts w:ascii="Times New Roman" w:hAnsi="Times New Roman" w:eastAsia="方正楷体简体" w:cs="Times New Roman"/>
          <w:b/>
          <w:color w:val="auto"/>
          <w:sz w:val="32"/>
          <w:szCs w:val="32"/>
          <w:highlight w:val="none"/>
        </w:rPr>
        <w:t>提升监管服务水平。</w:t>
      </w:r>
      <w:r>
        <w:rPr>
          <w:rFonts w:eastAsia="方正仿宋简体"/>
          <w:b/>
          <w:bCs/>
          <w:color w:val="auto"/>
          <w:sz w:val="32"/>
          <w:szCs w:val="32"/>
          <w:highlight w:val="none"/>
        </w:rPr>
        <w:t>一是</w:t>
      </w:r>
      <w:r>
        <w:rPr>
          <w:rFonts w:hint="eastAsia" w:eastAsia="方正仿宋简体"/>
          <w:b/>
          <w:bCs/>
          <w:color w:val="auto"/>
          <w:sz w:val="32"/>
          <w:szCs w:val="32"/>
          <w:highlight w:val="none"/>
          <w:lang w:val="en-US" w:eastAsia="zh-CN"/>
        </w:rPr>
        <w:t>健全</w:t>
      </w:r>
      <w:r>
        <w:rPr>
          <w:rFonts w:eastAsia="方正仿宋简体"/>
          <w:b/>
          <w:bCs/>
          <w:color w:val="auto"/>
          <w:sz w:val="32"/>
          <w:szCs w:val="32"/>
          <w:highlight w:val="none"/>
        </w:rPr>
        <w:t>完善管理制度</w:t>
      </w:r>
      <w:r>
        <w:rPr>
          <w:rFonts w:hint="eastAsia" w:eastAsia="方正仿宋简体"/>
          <w:b/>
          <w:bCs/>
          <w:color w:val="auto"/>
          <w:sz w:val="32"/>
          <w:szCs w:val="32"/>
          <w:highlight w:val="none"/>
          <w:lang w:eastAsia="zh-CN"/>
        </w:rPr>
        <w:t>。</w:t>
      </w:r>
      <w:r>
        <w:rPr>
          <w:rFonts w:eastAsia="方正仿宋简体"/>
          <w:color w:val="auto"/>
          <w:sz w:val="32"/>
          <w:szCs w:val="32"/>
          <w:highlight w:val="none"/>
        </w:rPr>
        <w:t>探索物业管理新模式；完善住房保障管理制度，加大公租房日常维修力度；加快推进抵押贷款及商品房预告登记管理，减少服务对象、银行等待时间，提高工作效率；加大商品房预售资金监管力度，确保工程正常建设。</w:t>
      </w:r>
      <w:r>
        <w:rPr>
          <w:rFonts w:eastAsia="方正仿宋简体"/>
          <w:b/>
          <w:bCs/>
          <w:color w:val="auto"/>
          <w:sz w:val="32"/>
          <w:szCs w:val="32"/>
          <w:highlight w:val="none"/>
        </w:rPr>
        <w:t>二是进一步创新服务模式</w:t>
      </w:r>
      <w:r>
        <w:rPr>
          <w:rFonts w:hint="eastAsia" w:eastAsia="方正仿宋简体"/>
          <w:b/>
          <w:bCs/>
          <w:color w:val="auto"/>
          <w:sz w:val="32"/>
          <w:szCs w:val="32"/>
          <w:highlight w:val="none"/>
          <w:lang w:eastAsia="zh-CN"/>
        </w:rPr>
        <w:t>。</w:t>
      </w:r>
      <w:r>
        <w:rPr>
          <w:rFonts w:eastAsia="方正仿宋简体"/>
          <w:color w:val="auto"/>
          <w:sz w:val="32"/>
          <w:szCs w:val="32"/>
          <w:highlight w:val="none"/>
        </w:rPr>
        <w:t>健全管理机制，学习市及其他区县的优秀管理办法，进一步简化办事流程，给老百姓提供最优质，最便捷的服务。紧盯“最多跑一次”服务工作要求，优化合并审批事项，减少企业往返跑的次数，进一步提高审批效率；积极推进优化营商环境工作，开展各项业务培训，切实提高履行岗位职责的能力，努力打造为民服务的“阳光窗口”。</w:t>
      </w:r>
    </w:p>
    <w:p>
      <w:pPr>
        <w:pageBreakBefore w:val="0"/>
        <w:kinsoku/>
        <w:wordWrap/>
        <w:overflowPunct/>
        <w:topLinePunct w:val="0"/>
        <w:autoSpaceDE/>
        <w:autoSpaceDN/>
        <w:bidi w:val="0"/>
        <w:adjustRightInd/>
        <w:snapToGrid/>
        <w:spacing w:line="590" w:lineRule="exact"/>
        <w:ind w:firstLine="630" w:firstLineChars="196"/>
        <w:textAlignment w:val="auto"/>
        <w:rPr>
          <w:rFonts w:hint="eastAsia" w:ascii="Times New Roman" w:hAnsi="Times New Roman" w:eastAsia="方正仿宋简体" w:cs="Times New Roman"/>
          <w:color w:val="auto"/>
          <w:sz w:val="32"/>
          <w:szCs w:val="32"/>
          <w:highlight w:val="none"/>
          <w:lang w:val="en-US" w:eastAsia="zh-CN"/>
        </w:rPr>
      </w:pPr>
      <w:r>
        <w:rPr>
          <w:rFonts w:hint="eastAsia" w:ascii="Times New Roman" w:hAnsi="Times New Roman" w:eastAsia="方正楷体简体" w:cs="Times New Roman"/>
          <w:b/>
          <w:color w:val="auto"/>
          <w:sz w:val="32"/>
          <w:szCs w:val="32"/>
          <w:highlight w:val="none"/>
          <w:lang w:val="en-US" w:eastAsia="zh-CN"/>
        </w:rPr>
        <w:t>（五）从实抓牢基层党建</w:t>
      </w:r>
      <w:r>
        <w:rPr>
          <w:rFonts w:hint="default" w:ascii="Times New Roman" w:hAnsi="Times New Roman" w:eastAsia="方正楷体简体" w:cs="Times New Roman"/>
          <w:b/>
          <w:color w:val="auto"/>
          <w:sz w:val="32"/>
          <w:szCs w:val="32"/>
          <w:highlight w:val="none"/>
          <w:lang w:val="en-US" w:eastAsia="zh-CN"/>
        </w:rPr>
        <w:t>。</w:t>
      </w:r>
      <w:r>
        <w:rPr>
          <w:rFonts w:ascii="Times New Roman" w:hAnsi="Times New Roman" w:eastAsia="方正仿宋简体" w:cs="Times New Roman"/>
          <w:color w:val="auto"/>
          <w:sz w:val="32"/>
          <w:szCs w:val="32"/>
          <w:highlight w:val="none"/>
        </w:rPr>
        <w:t>严格落实</w:t>
      </w:r>
      <w:r>
        <w:rPr>
          <w:rFonts w:hint="eastAsia" w:ascii="Times New Roman" w:hAnsi="Times New Roman" w:eastAsia="方正仿宋简体" w:cs="Times New Roman"/>
          <w:color w:val="auto"/>
          <w:sz w:val="32"/>
          <w:szCs w:val="32"/>
          <w:highlight w:val="none"/>
          <w:lang w:eastAsia="zh-CN"/>
        </w:rPr>
        <w:t>“</w:t>
      </w:r>
      <w:r>
        <w:rPr>
          <w:rFonts w:hint="eastAsia" w:ascii="Times New Roman" w:hAnsi="Times New Roman" w:eastAsia="方正仿宋简体" w:cs="Times New Roman"/>
          <w:color w:val="auto"/>
          <w:sz w:val="32"/>
          <w:szCs w:val="32"/>
          <w:highlight w:val="none"/>
          <w:lang w:val="en-US" w:eastAsia="zh-CN"/>
        </w:rPr>
        <w:t>一岗双责</w:t>
      </w:r>
      <w:r>
        <w:rPr>
          <w:rFonts w:hint="eastAsia" w:ascii="Times New Roman" w:hAnsi="Times New Roman" w:eastAsia="方正仿宋简体" w:cs="Times New Roman"/>
          <w:color w:val="auto"/>
          <w:sz w:val="32"/>
          <w:szCs w:val="32"/>
          <w:highlight w:val="none"/>
          <w:lang w:eastAsia="zh-CN"/>
        </w:rPr>
        <w:t>”</w:t>
      </w:r>
      <w:r>
        <w:rPr>
          <w:rFonts w:ascii="Times New Roman" w:hAnsi="Times New Roman" w:eastAsia="方正仿宋简体" w:cs="Times New Roman"/>
          <w:color w:val="auto"/>
          <w:sz w:val="32"/>
          <w:szCs w:val="32"/>
          <w:highlight w:val="none"/>
        </w:rPr>
        <w:t>，注重抓逗硬考核不放松。切实发挥基层党组织的领导核心作用，充分调动基层党员的工作积极性，着力改进工作方法，注重细致性与灵活性相结合</w:t>
      </w:r>
      <w:r>
        <w:rPr>
          <w:rFonts w:hint="eastAsia" w:ascii="Times New Roman" w:hAnsi="Times New Roman" w:eastAsia="方正仿宋简体" w:cs="Times New Roman"/>
          <w:color w:val="auto"/>
          <w:sz w:val="32"/>
          <w:szCs w:val="32"/>
          <w:highlight w:val="none"/>
          <w:lang w:eastAsia="zh-CN"/>
        </w:rPr>
        <w:t>，</w:t>
      </w:r>
      <w:r>
        <w:rPr>
          <w:rFonts w:ascii="Times New Roman" w:hAnsi="Times New Roman" w:eastAsia="方正仿宋简体" w:cs="Times New Roman"/>
          <w:color w:val="auto"/>
          <w:sz w:val="32"/>
          <w:szCs w:val="32"/>
          <w:highlight w:val="none"/>
        </w:rPr>
        <w:t>将党建工作同推进住建局各项工作结合起来，以党建引领日常工作实践，注重党性意识和党性观念双强化。</w:t>
      </w:r>
      <w:r>
        <w:rPr>
          <w:rFonts w:hint="eastAsia" w:ascii="Times New Roman" w:hAnsi="Times New Roman" w:eastAsia="方正仿宋简体" w:cs="Times New Roman"/>
          <w:color w:val="auto"/>
          <w:sz w:val="32"/>
          <w:szCs w:val="32"/>
          <w:highlight w:val="none"/>
          <w:lang w:val="en-US" w:eastAsia="zh-CN"/>
        </w:rPr>
        <w:t>用好用活中心组学习、“学习强国”、“三会一课”等平台载体，引导干部持续加强政治理论学习，不断巩固深化“党史”学习教育成果，切实增强干部职工党性修养、政治能力。</w:t>
      </w:r>
    </w:p>
    <w:p>
      <w:pPr>
        <w:spacing w:line="580" w:lineRule="exact"/>
        <w:ind w:firstLine="640" w:firstLineChars="200"/>
        <w:rPr>
          <w:rFonts w:eastAsia="方正黑体简体"/>
          <w:sz w:val="32"/>
          <w:szCs w:val="32"/>
          <w:highlight w:val="none"/>
        </w:rPr>
      </w:pPr>
      <w:r>
        <w:rPr>
          <w:rFonts w:eastAsia="方正黑体简体"/>
          <w:sz w:val="32"/>
          <w:szCs w:val="32"/>
          <w:highlight w:val="none"/>
        </w:rPr>
        <w:t>二、收支预算情况</w:t>
      </w:r>
      <w:r>
        <w:rPr>
          <w:rFonts w:hint="eastAsia" w:eastAsia="方正黑体简体"/>
          <w:sz w:val="32"/>
          <w:szCs w:val="32"/>
          <w:highlight w:val="none"/>
        </w:rPr>
        <w:t>说明</w:t>
      </w:r>
    </w:p>
    <w:p>
      <w:pPr>
        <w:spacing w:line="580" w:lineRule="exact"/>
        <w:ind w:firstLine="640" w:firstLineChars="200"/>
        <w:rPr>
          <w:rFonts w:hint="default" w:eastAsia="方正仿宋简体"/>
          <w:sz w:val="32"/>
          <w:szCs w:val="32"/>
          <w:highlight w:val="none"/>
          <w:lang w:val="en-US" w:eastAsia="zh-CN"/>
        </w:rPr>
      </w:pPr>
      <w:r>
        <w:rPr>
          <w:rFonts w:hint="eastAsia" w:eastAsia="方正仿宋简体"/>
          <w:sz w:val="32"/>
          <w:szCs w:val="32"/>
          <w:highlight w:val="none"/>
        </w:rPr>
        <w:t>按照综合预算的原则，</w:t>
      </w:r>
      <w:r>
        <w:rPr>
          <w:rFonts w:hint="eastAsia" w:ascii="仿宋" w:hAnsi="仿宋" w:eastAsia="仿宋"/>
          <w:color w:val="auto"/>
          <w:sz w:val="32"/>
          <w:szCs w:val="32"/>
          <w:highlight w:val="none"/>
        </w:rPr>
        <w:t>乐至县住房和城乡建设局</w:t>
      </w:r>
      <w:r>
        <w:rPr>
          <w:rFonts w:hint="eastAsia" w:eastAsia="方正仿宋简体"/>
          <w:sz w:val="32"/>
          <w:szCs w:val="32"/>
          <w:highlight w:val="none"/>
        </w:rPr>
        <w:t>所有收入和支出均纳入单位预算管理。收入包括：一般公共预算拨款收入；支出包括：</w:t>
      </w:r>
      <w:r>
        <w:rPr>
          <w:rFonts w:hint="eastAsia" w:eastAsia="方正仿宋简体"/>
          <w:sz w:val="32"/>
          <w:szCs w:val="32"/>
          <w:highlight w:val="none"/>
          <w:lang w:val="en-US" w:eastAsia="zh-CN"/>
        </w:rPr>
        <w:t>社会保障和就业</w:t>
      </w:r>
      <w:r>
        <w:rPr>
          <w:rFonts w:hint="eastAsia" w:eastAsia="方正仿宋简体"/>
          <w:sz w:val="32"/>
          <w:szCs w:val="32"/>
          <w:highlight w:val="none"/>
        </w:rPr>
        <w:t>支出、</w:t>
      </w:r>
      <w:r>
        <w:rPr>
          <w:rFonts w:hint="eastAsia" w:eastAsia="方正仿宋简体"/>
          <w:sz w:val="32"/>
          <w:szCs w:val="32"/>
          <w:highlight w:val="none"/>
          <w:lang w:val="en-US" w:eastAsia="zh-CN"/>
        </w:rPr>
        <w:t>卫生健康</w:t>
      </w:r>
      <w:r>
        <w:rPr>
          <w:rFonts w:hint="eastAsia" w:eastAsia="方正仿宋简体"/>
          <w:sz w:val="32"/>
          <w:szCs w:val="32"/>
          <w:highlight w:val="none"/>
        </w:rPr>
        <w:t>支出、</w:t>
      </w:r>
      <w:r>
        <w:rPr>
          <w:rFonts w:hint="eastAsia" w:eastAsia="方正仿宋简体"/>
          <w:sz w:val="32"/>
          <w:szCs w:val="32"/>
          <w:highlight w:val="none"/>
          <w:lang w:val="en-US" w:eastAsia="zh-CN"/>
        </w:rPr>
        <w:t>城乡社区支出</w:t>
      </w:r>
      <w:r>
        <w:rPr>
          <w:rFonts w:hint="eastAsia" w:eastAsia="方正仿宋简体"/>
          <w:sz w:val="32"/>
          <w:szCs w:val="32"/>
          <w:highlight w:val="none"/>
        </w:rPr>
        <w:t>。</w:t>
      </w:r>
      <w:r>
        <w:rPr>
          <w:rFonts w:hint="eastAsia" w:ascii="仿宋" w:hAnsi="仿宋" w:eastAsia="仿宋"/>
          <w:color w:val="auto"/>
          <w:sz w:val="32"/>
          <w:szCs w:val="32"/>
          <w:highlight w:val="none"/>
        </w:rPr>
        <w:t>乐至县住房和城乡建设局202</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年</w:t>
      </w:r>
      <w:r>
        <w:rPr>
          <w:rFonts w:hint="eastAsia" w:eastAsia="方正仿宋简体"/>
          <w:sz w:val="32"/>
          <w:szCs w:val="32"/>
          <w:highlight w:val="none"/>
        </w:rPr>
        <w:t>收支总预算</w:t>
      </w:r>
      <w:r>
        <w:rPr>
          <w:rFonts w:hint="eastAsia" w:ascii="仿宋" w:hAnsi="仿宋" w:eastAsia="仿宋"/>
          <w:color w:val="auto"/>
          <w:sz w:val="32"/>
          <w:szCs w:val="32"/>
          <w:highlight w:val="none"/>
          <w:lang w:val="en-US" w:eastAsia="zh-CN"/>
        </w:rPr>
        <w:t>874.39</w:t>
      </w:r>
      <w:r>
        <w:rPr>
          <w:rFonts w:hint="eastAsia" w:ascii="仿宋" w:hAnsi="仿宋" w:eastAsia="仿宋"/>
          <w:color w:val="auto"/>
          <w:sz w:val="32"/>
          <w:szCs w:val="32"/>
          <w:highlight w:val="none"/>
        </w:rPr>
        <w:t>万元，较202</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收支预算</w:t>
      </w:r>
      <w:r>
        <w:rPr>
          <w:rFonts w:hint="eastAsia" w:ascii="仿宋" w:hAnsi="仿宋" w:eastAsia="仿宋"/>
          <w:color w:val="auto"/>
          <w:sz w:val="32"/>
          <w:szCs w:val="32"/>
          <w:highlight w:val="none"/>
        </w:rPr>
        <w:t>总数</w:t>
      </w:r>
      <w:r>
        <w:rPr>
          <w:rFonts w:hint="eastAsia" w:ascii="仿宋" w:hAnsi="仿宋" w:eastAsia="仿宋"/>
          <w:color w:val="auto"/>
          <w:sz w:val="32"/>
          <w:szCs w:val="32"/>
          <w:highlight w:val="none"/>
          <w:lang w:val="en-US" w:eastAsia="zh-CN"/>
        </w:rPr>
        <w:t>859.83</w:t>
      </w:r>
      <w:r>
        <w:rPr>
          <w:rFonts w:hint="eastAsia" w:ascii="仿宋" w:hAnsi="仿宋" w:eastAsia="仿宋"/>
          <w:color w:val="auto"/>
          <w:sz w:val="32"/>
          <w:szCs w:val="32"/>
          <w:highlight w:val="none"/>
        </w:rPr>
        <w:t>万元，增加</w:t>
      </w:r>
      <w:r>
        <w:rPr>
          <w:rFonts w:hint="eastAsia" w:ascii="仿宋" w:hAnsi="仿宋" w:eastAsia="仿宋"/>
          <w:color w:val="auto"/>
          <w:sz w:val="32"/>
          <w:szCs w:val="32"/>
          <w:highlight w:val="none"/>
          <w:lang w:val="en-US" w:eastAsia="zh-CN"/>
        </w:rPr>
        <w:t>14.56万元</w:t>
      </w:r>
      <w:r>
        <w:rPr>
          <w:rFonts w:hint="eastAsia" w:ascii="仿宋" w:hAnsi="仿宋" w:eastAsia="仿宋" w:cs="宋体"/>
          <w:color w:val="auto"/>
          <w:sz w:val="32"/>
          <w:szCs w:val="32"/>
          <w:highlight w:val="none"/>
        </w:rPr>
        <w:t>。</w:t>
      </w:r>
      <w:r>
        <w:rPr>
          <w:rFonts w:hint="eastAsia" w:eastAsia="方正仿宋简体"/>
          <w:sz w:val="32"/>
          <w:szCs w:val="32"/>
          <w:highlight w:val="none"/>
        </w:rPr>
        <w:t>主要原因是</w:t>
      </w:r>
      <w:r>
        <w:rPr>
          <w:rFonts w:hint="eastAsia" w:eastAsia="方正仿宋简体"/>
          <w:sz w:val="32"/>
          <w:szCs w:val="32"/>
          <w:highlight w:val="none"/>
          <w:lang w:val="en-US" w:eastAsia="zh-CN"/>
        </w:rPr>
        <w:t>人员变动。</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（一）收入预算情况</w:t>
      </w:r>
    </w:p>
    <w:p>
      <w:pPr>
        <w:spacing w:line="580" w:lineRule="exact"/>
        <w:ind w:firstLine="640" w:firstLineChars="200"/>
        <w:rPr>
          <w:rFonts w:hint="eastAsia" w:eastAsia="方正仿宋简体"/>
          <w:sz w:val="32"/>
          <w:szCs w:val="32"/>
          <w:highlight w:val="none"/>
        </w:rPr>
      </w:pPr>
      <w:r>
        <w:rPr>
          <w:rFonts w:hint="eastAsia" w:ascii="仿宋" w:hAnsi="仿宋" w:eastAsia="仿宋"/>
          <w:color w:val="auto"/>
          <w:sz w:val="32"/>
          <w:szCs w:val="32"/>
          <w:highlight w:val="none"/>
        </w:rPr>
        <w:t>乐至县住房和城乡建设局</w:t>
      </w:r>
      <w:r>
        <w:rPr>
          <w:rFonts w:eastAsia="方正仿宋简体"/>
          <w:sz w:val="32"/>
          <w:szCs w:val="32"/>
          <w:highlight w:val="none"/>
        </w:rPr>
        <w:t>202</w:t>
      </w:r>
      <w:r>
        <w:rPr>
          <w:rFonts w:hint="eastAsia" w:eastAsia="方正仿宋简体"/>
          <w:sz w:val="32"/>
          <w:szCs w:val="32"/>
          <w:highlight w:val="none"/>
        </w:rPr>
        <w:t>2</w:t>
      </w:r>
      <w:r>
        <w:rPr>
          <w:rFonts w:eastAsia="方正仿宋简体"/>
          <w:sz w:val="32"/>
          <w:szCs w:val="32"/>
          <w:highlight w:val="none"/>
        </w:rPr>
        <w:t>年收入预算</w:t>
      </w:r>
      <w:r>
        <w:rPr>
          <w:rFonts w:hint="eastAsia" w:eastAsia="方正仿宋简体"/>
          <w:sz w:val="32"/>
          <w:szCs w:val="32"/>
          <w:highlight w:val="none"/>
          <w:lang w:val="en-US" w:eastAsia="zh-CN"/>
        </w:rPr>
        <w:t>874.39</w:t>
      </w:r>
      <w:r>
        <w:rPr>
          <w:rFonts w:eastAsia="方正仿宋简体"/>
          <w:sz w:val="32"/>
          <w:szCs w:val="32"/>
          <w:highlight w:val="none"/>
        </w:rPr>
        <w:t>万元，其中：</w:t>
      </w:r>
      <w:r>
        <w:rPr>
          <w:rFonts w:hint="eastAsia" w:eastAsia="方正仿宋简体"/>
          <w:sz w:val="32"/>
          <w:szCs w:val="32"/>
          <w:highlight w:val="none"/>
        </w:rPr>
        <w:t>一般公共预算</w:t>
      </w:r>
      <w:r>
        <w:rPr>
          <w:rFonts w:eastAsia="方正仿宋简体"/>
          <w:sz w:val="32"/>
          <w:szCs w:val="32"/>
          <w:highlight w:val="none"/>
        </w:rPr>
        <w:t>拨款收入</w:t>
      </w:r>
      <w:r>
        <w:rPr>
          <w:rFonts w:hint="eastAsia" w:eastAsia="方正仿宋简体"/>
          <w:sz w:val="32"/>
          <w:szCs w:val="32"/>
          <w:highlight w:val="none"/>
          <w:lang w:val="en-US" w:eastAsia="zh-CN"/>
        </w:rPr>
        <w:t>874.39</w:t>
      </w:r>
      <w:r>
        <w:rPr>
          <w:rFonts w:eastAsia="方正仿宋简体"/>
          <w:sz w:val="32"/>
          <w:szCs w:val="32"/>
          <w:highlight w:val="none"/>
        </w:rPr>
        <w:t>万元</w:t>
      </w:r>
      <w:r>
        <w:rPr>
          <w:rFonts w:hint="eastAsia" w:eastAsia="方正仿宋简体"/>
          <w:sz w:val="32"/>
          <w:szCs w:val="32"/>
          <w:highlight w:val="none"/>
        </w:rPr>
        <w:t>，占</w:t>
      </w:r>
      <w:r>
        <w:rPr>
          <w:rFonts w:hint="eastAsia" w:eastAsia="方正仿宋简体"/>
          <w:sz w:val="32"/>
          <w:szCs w:val="32"/>
          <w:highlight w:val="none"/>
          <w:lang w:val="en-US" w:eastAsia="zh-CN"/>
        </w:rPr>
        <w:t>100</w:t>
      </w:r>
      <w:r>
        <w:rPr>
          <w:rFonts w:hint="eastAsia" w:eastAsia="方正仿宋简体"/>
          <w:sz w:val="32"/>
          <w:szCs w:val="32"/>
          <w:highlight w:val="none"/>
        </w:rPr>
        <w:t>%</w:t>
      </w:r>
      <w:r>
        <w:rPr>
          <w:rFonts w:eastAsia="方正仿宋简体"/>
          <w:sz w:val="32"/>
          <w:szCs w:val="32"/>
          <w:highlight w:val="none"/>
        </w:rPr>
        <w:t>。</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（二）支出预算情况</w:t>
      </w:r>
    </w:p>
    <w:p>
      <w:pPr>
        <w:spacing w:line="580" w:lineRule="exact"/>
        <w:ind w:firstLine="640" w:firstLineChars="200"/>
        <w:rPr>
          <w:rFonts w:hint="eastAsia" w:eastAsia="方正仿宋简体"/>
          <w:sz w:val="32"/>
          <w:szCs w:val="32"/>
          <w:highlight w:val="none"/>
        </w:rPr>
      </w:pPr>
      <w:r>
        <w:rPr>
          <w:rFonts w:hint="eastAsia" w:ascii="仿宋" w:hAnsi="仿宋" w:eastAsia="仿宋"/>
          <w:color w:val="auto"/>
          <w:sz w:val="32"/>
          <w:szCs w:val="32"/>
          <w:highlight w:val="none"/>
        </w:rPr>
        <w:t>乐至县住房和城乡建设局</w:t>
      </w:r>
      <w:r>
        <w:rPr>
          <w:rFonts w:eastAsia="方正仿宋简体"/>
          <w:sz w:val="32"/>
          <w:szCs w:val="32"/>
          <w:highlight w:val="none"/>
        </w:rPr>
        <w:t>202</w:t>
      </w:r>
      <w:r>
        <w:rPr>
          <w:rFonts w:hint="eastAsia" w:eastAsia="方正仿宋简体"/>
          <w:sz w:val="32"/>
          <w:szCs w:val="32"/>
          <w:highlight w:val="none"/>
        </w:rPr>
        <w:t>2</w:t>
      </w:r>
      <w:r>
        <w:rPr>
          <w:rFonts w:eastAsia="方正仿宋简体"/>
          <w:sz w:val="32"/>
          <w:szCs w:val="32"/>
          <w:highlight w:val="none"/>
        </w:rPr>
        <w:t>年支出预算</w:t>
      </w:r>
      <w:r>
        <w:rPr>
          <w:rFonts w:hint="eastAsia" w:eastAsia="方正仿宋简体"/>
          <w:sz w:val="32"/>
          <w:szCs w:val="32"/>
          <w:highlight w:val="none"/>
          <w:lang w:val="en-US" w:eastAsia="zh-CN"/>
        </w:rPr>
        <w:t>874.39</w:t>
      </w:r>
      <w:r>
        <w:rPr>
          <w:rFonts w:eastAsia="方正仿宋简体"/>
          <w:sz w:val="32"/>
          <w:szCs w:val="32"/>
          <w:highlight w:val="none"/>
        </w:rPr>
        <w:t>万元，其中</w:t>
      </w:r>
      <w:r>
        <w:rPr>
          <w:rFonts w:hint="eastAsia" w:eastAsia="方正仿宋简体"/>
          <w:sz w:val="32"/>
          <w:szCs w:val="32"/>
          <w:highlight w:val="none"/>
        </w:rPr>
        <w:t>：基本支出</w:t>
      </w:r>
      <w:r>
        <w:rPr>
          <w:rFonts w:hint="eastAsia" w:eastAsia="方正仿宋简体"/>
          <w:sz w:val="32"/>
          <w:szCs w:val="32"/>
          <w:highlight w:val="none"/>
          <w:lang w:val="en-US" w:eastAsia="zh-CN"/>
        </w:rPr>
        <w:t>874.39</w:t>
      </w:r>
      <w:r>
        <w:rPr>
          <w:rFonts w:hint="eastAsia" w:eastAsia="方正仿宋简体"/>
          <w:sz w:val="32"/>
          <w:szCs w:val="32"/>
          <w:highlight w:val="none"/>
        </w:rPr>
        <w:t>万元，占</w:t>
      </w:r>
      <w:r>
        <w:rPr>
          <w:rFonts w:hint="eastAsia" w:eastAsia="方正仿宋简体"/>
          <w:sz w:val="32"/>
          <w:szCs w:val="32"/>
          <w:highlight w:val="none"/>
          <w:lang w:val="en-US" w:eastAsia="zh-CN"/>
        </w:rPr>
        <w:t>100</w:t>
      </w:r>
      <w:r>
        <w:rPr>
          <w:rFonts w:hint="eastAsia" w:eastAsia="方正仿宋简体"/>
          <w:sz w:val="32"/>
          <w:szCs w:val="32"/>
          <w:highlight w:val="none"/>
        </w:rPr>
        <w:t>%；项目支出</w:t>
      </w:r>
      <w:r>
        <w:rPr>
          <w:rFonts w:hint="eastAsia" w:eastAsia="方正仿宋简体"/>
          <w:sz w:val="32"/>
          <w:szCs w:val="32"/>
          <w:highlight w:val="none"/>
          <w:lang w:val="en-US" w:eastAsia="zh-CN"/>
        </w:rPr>
        <w:t>0</w:t>
      </w:r>
      <w:r>
        <w:rPr>
          <w:rFonts w:hint="eastAsia" w:eastAsia="方正仿宋简体"/>
          <w:sz w:val="32"/>
          <w:szCs w:val="32"/>
          <w:highlight w:val="none"/>
        </w:rPr>
        <w:t>万元。</w:t>
      </w:r>
    </w:p>
    <w:p>
      <w:pPr>
        <w:spacing w:line="580" w:lineRule="exact"/>
        <w:ind w:firstLine="640" w:firstLineChars="200"/>
        <w:rPr>
          <w:rFonts w:hint="eastAsia" w:eastAsia="方正黑体简体"/>
          <w:sz w:val="32"/>
          <w:szCs w:val="32"/>
          <w:highlight w:val="none"/>
        </w:rPr>
      </w:pPr>
      <w:r>
        <w:rPr>
          <w:rFonts w:hint="eastAsia" w:eastAsia="方正黑体简体"/>
          <w:sz w:val="32"/>
          <w:szCs w:val="32"/>
          <w:highlight w:val="none"/>
        </w:rPr>
        <w:t>三、财政拨款收支预算情况说明</w:t>
      </w:r>
    </w:p>
    <w:p>
      <w:pPr>
        <w:spacing w:line="580" w:lineRule="exact"/>
        <w:ind w:firstLine="640" w:firstLineChars="200"/>
        <w:rPr>
          <w:rFonts w:hint="eastAsia" w:eastAsia="方正仿宋简体"/>
          <w:sz w:val="32"/>
          <w:szCs w:val="32"/>
          <w:highlight w:val="none"/>
        </w:rPr>
      </w:pPr>
      <w:r>
        <w:rPr>
          <w:rFonts w:hint="eastAsia" w:ascii="仿宋" w:hAnsi="仿宋" w:eastAsia="仿宋"/>
          <w:color w:val="auto"/>
          <w:sz w:val="32"/>
          <w:szCs w:val="32"/>
          <w:highlight w:val="none"/>
        </w:rPr>
        <w:t>乐至县住房和城乡建设局</w:t>
      </w:r>
      <w:r>
        <w:rPr>
          <w:rFonts w:hint="eastAsia" w:eastAsia="方正仿宋简体"/>
          <w:sz w:val="32"/>
          <w:szCs w:val="32"/>
          <w:highlight w:val="none"/>
        </w:rPr>
        <w:t>2022年财政拨款收支总预算</w:t>
      </w:r>
      <w:r>
        <w:rPr>
          <w:rFonts w:hint="eastAsia" w:eastAsia="方正仿宋简体"/>
          <w:sz w:val="32"/>
          <w:szCs w:val="32"/>
          <w:highlight w:val="none"/>
          <w:lang w:val="en-US" w:eastAsia="zh-CN"/>
        </w:rPr>
        <w:t>874.39</w:t>
      </w:r>
      <w:r>
        <w:rPr>
          <w:rFonts w:hint="eastAsia" w:eastAsia="方正仿宋简体"/>
          <w:sz w:val="32"/>
          <w:szCs w:val="32"/>
          <w:highlight w:val="none"/>
        </w:rPr>
        <w:t>万元，比2021年财政拨款收支总预算增加</w:t>
      </w:r>
      <w:r>
        <w:rPr>
          <w:rFonts w:hint="eastAsia" w:ascii="仿宋" w:hAnsi="仿宋" w:eastAsia="仿宋"/>
          <w:color w:val="auto"/>
          <w:sz w:val="32"/>
          <w:szCs w:val="32"/>
          <w:highlight w:val="none"/>
          <w:lang w:val="en-US" w:eastAsia="zh-CN"/>
        </w:rPr>
        <w:t>14.56</w:t>
      </w:r>
      <w:r>
        <w:rPr>
          <w:rFonts w:hint="eastAsia" w:eastAsia="方正仿宋简体"/>
          <w:sz w:val="32"/>
          <w:szCs w:val="32"/>
          <w:highlight w:val="none"/>
        </w:rPr>
        <w:t>万元，主要原因是</w:t>
      </w:r>
      <w:r>
        <w:rPr>
          <w:rFonts w:hint="eastAsia" w:eastAsia="方正仿宋简体"/>
          <w:sz w:val="32"/>
          <w:szCs w:val="32"/>
          <w:highlight w:val="none"/>
          <w:lang w:val="en-US" w:eastAsia="zh-CN"/>
        </w:rPr>
        <w:t>人员变动</w:t>
      </w:r>
      <w:r>
        <w:rPr>
          <w:rFonts w:hint="eastAsia" w:eastAsia="方正仿宋简体"/>
          <w:sz w:val="32"/>
          <w:szCs w:val="32"/>
          <w:highlight w:val="none"/>
        </w:rPr>
        <w:t>。</w:t>
      </w:r>
    </w:p>
    <w:p>
      <w:pPr>
        <w:spacing w:line="580" w:lineRule="exact"/>
        <w:ind w:firstLine="640" w:firstLineChars="200"/>
        <w:rPr>
          <w:rFonts w:hint="eastAsia" w:eastAsia="方正仿宋简体"/>
          <w:sz w:val="32"/>
          <w:szCs w:val="32"/>
          <w:highlight w:val="none"/>
        </w:rPr>
      </w:pPr>
      <w:r>
        <w:rPr>
          <w:rFonts w:hint="eastAsia" w:eastAsia="方正仿宋简体"/>
          <w:sz w:val="32"/>
          <w:szCs w:val="32"/>
          <w:highlight w:val="none"/>
        </w:rPr>
        <w:t>收入包括：本年一般公共预算拨款收入</w:t>
      </w:r>
      <w:r>
        <w:rPr>
          <w:rFonts w:hint="eastAsia" w:eastAsia="方正仿宋简体"/>
          <w:sz w:val="32"/>
          <w:szCs w:val="32"/>
          <w:highlight w:val="none"/>
          <w:lang w:val="en-US" w:eastAsia="zh-CN"/>
        </w:rPr>
        <w:t>874.39</w:t>
      </w:r>
      <w:r>
        <w:rPr>
          <w:rFonts w:hint="eastAsia" w:eastAsia="方正仿宋简体"/>
          <w:sz w:val="32"/>
          <w:szCs w:val="32"/>
          <w:highlight w:val="none"/>
        </w:rPr>
        <w:t>万元；支出包括：社会保障和就业支出</w:t>
      </w:r>
      <w:r>
        <w:rPr>
          <w:rFonts w:hint="eastAsia" w:eastAsia="方正仿宋简体"/>
          <w:sz w:val="32"/>
          <w:szCs w:val="32"/>
          <w:highlight w:val="none"/>
          <w:lang w:val="en-US" w:eastAsia="zh-CN"/>
        </w:rPr>
        <w:t>78.17</w:t>
      </w:r>
      <w:r>
        <w:rPr>
          <w:rFonts w:hint="eastAsia" w:eastAsia="方正仿宋简体"/>
          <w:sz w:val="32"/>
          <w:szCs w:val="32"/>
          <w:highlight w:val="none"/>
        </w:rPr>
        <w:t>万元、卫生健康支出</w:t>
      </w:r>
      <w:r>
        <w:rPr>
          <w:rFonts w:hint="eastAsia" w:eastAsia="方正仿宋简体"/>
          <w:sz w:val="32"/>
          <w:szCs w:val="32"/>
          <w:highlight w:val="none"/>
          <w:lang w:val="en-US" w:eastAsia="zh-CN"/>
        </w:rPr>
        <w:t>42.77</w:t>
      </w:r>
      <w:r>
        <w:rPr>
          <w:rFonts w:hint="eastAsia" w:eastAsia="方正仿宋简体"/>
          <w:sz w:val="32"/>
          <w:szCs w:val="32"/>
          <w:highlight w:val="none"/>
        </w:rPr>
        <w:t>万元、</w:t>
      </w:r>
      <w:r>
        <w:rPr>
          <w:rFonts w:hint="eastAsia" w:eastAsia="方正仿宋简体"/>
          <w:sz w:val="32"/>
          <w:szCs w:val="32"/>
          <w:highlight w:val="none"/>
          <w:lang w:val="en-US" w:eastAsia="zh-CN"/>
        </w:rPr>
        <w:t>城乡社区支出753.45</w:t>
      </w:r>
      <w:r>
        <w:rPr>
          <w:rFonts w:hint="eastAsia" w:eastAsia="方正仿宋简体"/>
          <w:sz w:val="32"/>
          <w:szCs w:val="32"/>
          <w:highlight w:val="none"/>
        </w:rPr>
        <w:t>万元。</w:t>
      </w:r>
    </w:p>
    <w:p>
      <w:pPr>
        <w:spacing w:line="580" w:lineRule="exact"/>
        <w:ind w:firstLine="640" w:firstLineChars="200"/>
        <w:rPr>
          <w:rFonts w:hint="eastAsia" w:eastAsia="方正黑体简体"/>
          <w:sz w:val="32"/>
          <w:szCs w:val="32"/>
          <w:highlight w:val="none"/>
        </w:rPr>
      </w:pPr>
      <w:r>
        <w:rPr>
          <w:rFonts w:hint="eastAsia" w:eastAsia="方正黑体简体"/>
          <w:sz w:val="32"/>
          <w:szCs w:val="32"/>
          <w:highlight w:val="none"/>
        </w:rPr>
        <w:t>四</w:t>
      </w:r>
      <w:r>
        <w:rPr>
          <w:rFonts w:eastAsia="方正黑体简体"/>
          <w:sz w:val="32"/>
          <w:szCs w:val="32"/>
          <w:highlight w:val="none"/>
        </w:rPr>
        <w:t>、</w:t>
      </w:r>
      <w:r>
        <w:rPr>
          <w:rFonts w:hint="eastAsia" w:eastAsia="方正黑体简体"/>
          <w:sz w:val="32"/>
          <w:szCs w:val="32"/>
          <w:highlight w:val="none"/>
        </w:rPr>
        <w:t>一般公共预算当年拨款情况说明</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（一）一般公共预算当年拨款规模变化情况</w:t>
      </w:r>
    </w:p>
    <w:p>
      <w:pPr>
        <w:spacing w:line="580" w:lineRule="exact"/>
        <w:ind w:firstLine="640" w:firstLineChars="200"/>
        <w:rPr>
          <w:rFonts w:hint="eastAsia" w:eastAsia="方正仿宋简体"/>
          <w:sz w:val="32"/>
          <w:szCs w:val="32"/>
          <w:highlight w:val="none"/>
        </w:rPr>
      </w:pPr>
      <w:r>
        <w:rPr>
          <w:rFonts w:hint="eastAsia" w:ascii="仿宋" w:hAnsi="仿宋" w:eastAsia="仿宋"/>
          <w:color w:val="auto"/>
          <w:sz w:val="32"/>
          <w:szCs w:val="32"/>
          <w:highlight w:val="none"/>
        </w:rPr>
        <w:t>乐至县住房和城乡建设局</w:t>
      </w:r>
      <w:r>
        <w:rPr>
          <w:rFonts w:hint="eastAsia" w:eastAsia="方正仿宋简体"/>
          <w:sz w:val="32"/>
          <w:szCs w:val="32"/>
          <w:highlight w:val="none"/>
        </w:rPr>
        <w:t>20</w:t>
      </w:r>
      <w:r>
        <w:rPr>
          <w:rFonts w:eastAsia="方正仿宋简体"/>
          <w:sz w:val="32"/>
          <w:szCs w:val="32"/>
          <w:highlight w:val="none"/>
        </w:rPr>
        <w:t>2</w:t>
      </w:r>
      <w:r>
        <w:rPr>
          <w:rFonts w:hint="eastAsia" w:eastAsia="方正仿宋简体"/>
          <w:sz w:val="32"/>
          <w:szCs w:val="32"/>
          <w:highlight w:val="none"/>
        </w:rPr>
        <w:t>2年一般公共预算当年拨款</w:t>
      </w:r>
      <w:r>
        <w:rPr>
          <w:rFonts w:hint="eastAsia" w:eastAsia="方正仿宋简体"/>
          <w:sz w:val="32"/>
          <w:szCs w:val="32"/>
          <w:highlight w:val="none"/>
          <w:lang w:val="en-US" w:eastAsia="zh-CN"/>
        </w:rPr>
        <w:t>874.39</w:t>
      </w:r>
      <w:r>
        <w:rPr>
          <w:rFonts w:hint="eastAsia" w:eastAsia="方正仿宋简体"/>
          <w:sz w:val="32"/>
          <w:szCs w:val="32"/>
          <w:highlight w:val="none"/>
        </w:rPr>
        <w:t>万元，比2021年预算数增加</w:t>
      </w:r>
      <w:r>
        <w:rPr>
          <w:rFonts w:hint="eastAsia" w:ascii="仿宋" w:hAnsi="仿宋" w:eastAsia="仿宋"/>
          <w:color w:val="auto"/>
          <w:sz w:val="32"/>
          <w:szCs w:val="32"/>
          <w:highlight w:val="none"/>
          <w:lang w:val="en-US" w:eastAsia="zh-CN"/>
        </w:rPr>
        <w:t>14.56</w:t>
      </w:r>
      <w:r>
        <w:rPr>
          <w:rFonts w:hint="eastAsia" w:eastAsia="方正仿宋简体"/>
          <w:sz w:val="32"/>
          <w:szCs w:val="32"/>
          <w:highlight w:val="none"/>
        </w:rPr>
        <w:t>万元，主要原因是</w:t>
      </w:r>
      <w:r>
        <w:rPr>
          <w:rFonts w:hint="eastAsia" w:eastAsia="方正仿宋简体"/>
          <w:sz w:val="32"/>
          <w:szCs w:val="32"/>
          <w:highlight w:val="none"/>
          <w:lang w:val="en-US" w:eastAsia="zh-CN"/>
        </w:rPr>
        <w:t>人员变动</w:t>
      </w:r>
      <w:r>
        <w:rPr>
          <w:rFonts w:hint="eastAsia" w:eastAsia="方正仿宋简体"/>
          <w:sz w:val="32"/>
          <w:szCs w:val="32"/>
          <w:highlight w:val="none"/>
        </w:rPr>
        <w:t>。</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（二）一般公共预算当年拨款结构情况</w:t>
      </w:r>
    </w:p>
    <w:p>
      <w:pPr>
        <w:spacing w:line="580" w:lineRule="exact"/>
        <w:ind w:firstLine="640" w:firstLineChars="200"/>
        <w:rPr>
          <w:rFonts w:hint="eastAsia" w:eastAsia="方正仿宋简体"/>
          <w:sz w:val="32"/>
          <w:szCs w:val="32"/>
          <w:highlight w:val="none"/>
        </w:rPr>
      </w:pPr>
      <w:r>
        <w:rPr>
          <w:rFonts w:hint="eastAsia" w:eastAsia="方正仿宋简体"/>
          <w:sz w:val="32"/>
          <w:szCs w:val="32"/>
          <w:highlight w:val="none"/>
        </w:rPr>
        <w:t>社会保障和就业支出</w:t>
      </w:r>
      <w:r>
        <w:rPr>
          <w:rFonts w:hint="eastAsia" w:eastAsia="方正仿宋简体"/>
          <w:sz w:val="32"/>
          <w:szCs w:val="32"/>
          <w:highlight w:val="none"/>
          <w:lang w:val="en-US" w:eastAsia="zh-CN"/>
        </w:rPr>
        <w:t>78.17</w:t>
      </w:r>
      <w:r>
        <w:rPr>
          <w:rFonts w:hint="eastAsia" w:eastAsia="方正仿宋简体"/>
          <w:sz w:val="32"/>
          <w:szCs w:val="32"/>
          <w:highlight w:val="none"/>
        </w:rPr>
        <w:t>万元，占</w:t>
      </w:r>
      <w:r>
        <w:rPr>
          <w:rFonts w:hint="eastAsia" w:eastAsia="方正仿宋简体"/>
          <w:sz w:val="32"/>
          <w:szCs w:val="32"/>
          <w:highlight w:val="none"/>
          <w:lang w:val="en-US" w:eastAsia="zh-CN"/>
        </w:rPr>
        <w:t>8.94</w:t>
      </w:r>
      <w:r>
        <w:rPr>
          <w:rFonts w:hint="eastAsia" w:eastAsia="方正仿宋简体"/>
          <w:sz w:val="32"/>
          <w:szCs w:val="32"/>
          <w:highlight w:val="none"/>
        </w:rPr>
        <w:t>%；卫生健康支出</w:t>
      </w:r>
      <w:r>
        <w:rPr>
          <w:rFonts w:hint="eastAsia" w:eastAsia="方正仿宋简体"/>
          <w:sz w:val="32"/>
          <w:szCs w:val="32"/>
          <w:highlight w:val="none"/>
          <w:lang w:val="en-US" w:eastAsia="zh-CN"/>
        </w:rPr>
        <w:t>42.77</w:t>
      </w:r>
      <w:r>
        <w:rPr>
          <w:rFonts w:hint="eastAsia" w:eastAsia="方正仿宋简体"/>
          <w:sz w:val="32"/>
          <w:szCs w:val="32"/>
          <w:highlight w:val="none"/>
        </w:rPr>
        <w:t>万元</w:t>
      </w:r>
      <w:r>
        <w:rPr>
          <w:rFonts w:hint="eastAsia" w:eastAsia="方正仿宋简体"/>
          <w:sz w:val="32"/>
          <w:szCs w:val="32"/>
          <w:highlight w:val="none"/>
          <w:lang w:eastAsia="zh-CN"/>
        </w:rPr>
        <w:t>，</w:t>
      </w:r>
      <w:r>
        <w:rPr>
          <w:rFonts w:hint="eastAsia" w:eastAsia="方正仿宋简体"/>
          <w:sz w:val="32"/>
          <w:szCs w:val="32"/>
          <w:highlight w:val="none"/>
        </w:rPr>
        <w:t>占</w:t>
      </w:r>
      <w:r>
        <w:rPr>
          <w:rFonts w:hint="eastAsia" w:eastAsia="方正仿宋简体"/>
          <w:sz w:val="32"/>
          <w:szCs w:val="32"/>
          <w:highlight w:val="none"/>
          <w:lang w:val="en-US" w:eastAsia="zh-CN"/>
        </w:rPr>
        <w:t>4.89</w:t>
      </w:r>
      <w:r>
        <w:rPr>
          <w:rFonts w:hint="eastAsia" w:eastAsia="方正仿宋简体"/>
          <w:sz w:val="32"/>
          <w:szCs w:val="32"/>
          <w:highlight w:val="none"/>
        </w:rPr>
        <w:t>%</w:t>
      </w:r>
      <w:r>
        <w:rPr>
          <w:rFonts w:hint="eastAsia" w:eastAsia="方正仿宋简体"/>
          <w:sz w:val="32"/>
          <w:szCs w:val="32"/>
          <w:highlight w:val="none"/>
          <w:lang w:val="en-US" w:eastAsia="zh-CN"/>
        </w:rPr>
        <w:t>；城乡社区支出753.45</w:t>
      </w:r>
      <w:r>
        <w:rPr>
          <w:rFonts w:hint="eastAsia" w:eastAsia="方正仿宋简体"/>
          <w:sz w:val="32"/>
          <w:szCs w:val="32"/>
          <w:highlight w:val="none"/>
        </w:rPr>
        <w:t>万元</w:t>
      </w:r>
      <w:r>
        <w:rPr>
          <w:rFonts w:hint="eastAsia" w:eastAsia="方正仿宋简体"/>
          <w:sz w:val="32"/>
          <w:szCs w:val="32"/>
          <w:highlight w:val="none"/>
          <w:lang w:eastAsia="zh-CN"/>
        </w:rPr>
        <w:t>，</w:t>
      </w:r>
      <w:r>
        <w:rPr>
          <w:rFonts w:hint="eastAsia" w:eastAsia="方正仿宋简体"/>
          <w:sz w:val="32"/>
          <w:szCs w:val="32"/>
          <w:highlight w:val="none"/>
        </w:rPr>
        <w:t>占</w:t>
      </w:r>
      <w:r>
        <w:rPr>
          <w:rFonts w:hint="eastAsia" w:eastAsia="方正仿宋简体"/>
          <w:sz w:val="32"/>
          <w:szCs w:val="32"/>
          <w:highlight w:val="none"/>
          <w:lang w:val="en-US" w:eastAsia="zh-CN"/>
        </w:rPr>
        <w:t>86.17</w:t>
      </w:r>
      <w:r>
        <w:rPr>
          <w:rFonts w:hint="eastAsia" w:eastAsia="方正仿宋简体"/>
          <w:sz w:val="32"/>
          <w:szCs w:val="32"/>
          <w:highlight w:val="none"/>
        </w:rPr>
        <w:t>%。</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（三）一般公共预算当年拨款具体使用情况</w:t>
      </w:r>
    </w:p>
    <w:p>
      <w:pPr>
        <w:spacing w:line="580" w:lineRule="exact"/>
        <w:ind w:firstLine="643" w:firstLineChars="200"/>
        <w:rPr>
          <w:rFonts w:eastAsia="方正仿宋简体"/>
          <w:sz w:val="32"/>
          <w:szCs w:val="32"/>
          <w:highlight w:val="none"/>
        </w:rPr>
      </w:pPr>
      <w:r>
        <w:rPr>
          <w:rFonts w:eastAsia="方正仿宋简体"/>
          <w:b/>
          <w:sz w:val="32"/>
          <w:szCs w:val="32"/>
          <w:highlight w:val="none"/>
        </w:rPr>
        <w:t>1.</w:t>
      </w:r>
      <w:r>
        <w:rPr>
          <w:rFonts w:hint="eastAsia" w:eastAsia="方正仿宋简体"/>
          <w:sz w:val="32"/>
          <w:szCs w:val="32"/>
          <w:highlight w:val="none"/>
          <w:lang w:val="en-US" w:eastAsia="zh-CN"/>
        </w:rPr>
        <w:t>城乡社区支出</w:t>
      </w:r>
      <w:r>
        <w:rPr>
          <w:rFonts w:eastAsia="方正仿宋简体"/>
          <w:sz w:val="32"/>
          <w:szCs w:val="32"/>
          <w:highlight w:val="none"/>
        </w:rPr>
        <w:t>（类）</w:t>
      </w:r>
      <w:r>
        <w:rPr>
          <w:rFonts w:hint="eastAsia" w:eastAsia="方正仿宋简体"/>
          <w:sz w:val="32"/>
          <w:szCs w:val="32"/>
          <w:highlight w:val="none"/>
          <w:lang w:val="en-US" w:eastAsia="zh-CN"/>
        </w:rPr>
        <w:t>城乡社区管理事务</w:t>
      </w:r>
      <w:r>
        <w:rPr>
          <w:rFonts w:eastAsia="方正仿宋简体"/>
          <w:sz w:val="32"/>
          <w:szCs w:val="32"/>
          <w:highlight w:val="none"/>
        </w:rPr>
        <w:t>（款）行政运行（项）202</w:t>
      </w:r>
      <w:r>
        <w:rPr>
          <w:rFonts w:hint="eastAsia" w:eastAsia="方正仿宋简体"/>
          <w:sz w:val="32"/>
          <w:szCs w:val="32"/>
          <w:highlight w:val="none"/>
        </w:rPr>
        <w:t>2</w:t>
      </w:r>
      <w:r>
        <w:rPr>
          <w:rFonts w:eastAsia="方正仿宋简体"/>
          <w:sz w:val="32"/>
          <w:szCs w:val="32"/>
          <w:highlight w:val="none"/>
        </w:rPr>
        <w:t>年预算数为</w:t>
      </w:r>
      <w:r>
        <w:rPr>
          <w:rFonts w:hint="eastAsia" w:eastAsia="方正仿宋简体"/>
          <w:sz w:val="32"/>
          <w:szCs w:val="32"/>
          <w:highlight w:val="none"/>
          <w:lang w:val="en-US" w:eastAsia="zh-CN"/>
        </w:rPr>
        <w:t>348.09</w:t>
      </w:r>
      <w:r>
        <w:rPr>
          <w:rFonts w:eastAsia="方正仿宋简体"/>
          <w:sz w:val="32"/>
          <w:szCs w:val="32"/>
          <w:highlight w:val="none"/>
        </w:rPr>
        <w:t>万元，</w:t>
      </w:r>
      <w:r>
        <w:rPr>
          <w:rFonts w:hint="eastAsia" w:eastAsia="方正仿宋简体"/>
          <w:sz w:val="32"/>
          <w:szCs w:val="32"/>
          <w:highlight w:val="none"/>
          <w:lang w:val="en-US" w:eastAsia="zh-CN"/>
        </w:rPr>
        <w:t>其他城乡社区管理事务支出</w:t>
      </w:r>
      <w:r>
        <w:rPr>
          <w:rFonts w:eastAsia="方正仿宋简体"/>
          <w:sz w:val="32"/>
          <w:szCs w:val="32"/>
          <w:highlight w:val="none"/>
        </w:rPr>
        <w:t>（项）202</w:t>
      </w:r>
      <w:r>
        <w:rPr>
          <w:rFonts w:hint="eastAsia" w:eastAsia="方正仿宋简体"/>
          <w:sz w:val="32"/>
          <w:szCs w:val="32"/>
          <w:highlight w:val="none"/>
        </w:rPr>
        <w:t>2</w:t>
      </w:r>
      <w:r>
        <w:rPr>
          <w:rFonts w:eastAsia="方正仿宋简体"/>
          <w:sz w:val="32"/>
          <w:szCs w:val="32"/>
          <w:highlight w:val="none"/>
        </w:rPr>
        <w:t>年预算数为</w:t>
      </w:r>
      <w:r>
        <w:rPr>
          <w:rFonts w:hint="eastAsia" w:eastAsia="方正仿宋简体"/>
          <w:sz w:val="32"/>
          <w:szCs w:val="32"/>
          <w:highlight w:val="none"/>
          <w:lang w:val="en-US" w:eastAsia="zh-CN"/>
        </w:rPr>
        <w:t>405.36</w:t>
      </w:r>
      <w:r>
        <w:rPr>
          <w:rFonts w:eastAsia="方正仿宋简体"/>
          <w:sz w:val="32"/>
          <w:szCs w:val="32"/>
          <w:highlight w:val="none"/>
        </w:rPr>
        <w:t>万元</w:t>
      </w:r>
      <w:r>
        <w:rPr>
          <w:rFonts w:hint="eastAsia" w:eastAsia="方正仿宋简体"/>
          <w:sz w:val="32"/>
          <w:szCs w:val="32"/>
          <w:highlight w:val="none"/>
          <w:lang w:eastAsia="zh-CN"/>
        </w:rPr>
        <w:t>，</w:t>
      </w:r>
      <w:r>
        <w:rPr>
          <w:rFonts w:eastAsia="方正仿宋简体"/>
          <w:sz w:val="32"/>
          <w:szCs w:val="32"/>
          <w:highlight w:val="none"/>
        </w:rPr>
        <w:t>主要用于：局机关及参公管理事业单位正常运转的基本支出，包括基本工资、津贴补贴等人员经费以及办公费、印刷费、水电费等日常公用经费。</w:t>
      </w:r>
    </w:p>
    <w:p>
      <w:pPr>
        <w:spacing w:line="580" w:lineRule="exact"/>
        <w:ind w:firstLine="643" w:firstLineChars="200"/>
        <w:rPr>
          <w:rFonts w:eastAsia="方正仿宋简体"/>
          <w:sz w:val="32"/>
          <w:szCs w:val="32"/>
          <w:highlight w:val="none"/>
        </w:rPr>
      </w:pPr>
      <w:r>
        <w:rPr>
          <w:rFonts w:eastAsia="方正仿宋简体"/>
          <w:b/>
          <w:sz w:val="32"/>
          <w:szCs w:val="32"/>
          <w:highlight w:val="none"/>
        </w:rPr>
        <w:t>2.</w:t>
      </w:r>
      <w:r>
        <w:rPr>
          <w:rFonts w:eastAsia="方正仿宋简体"/>
          <w:sz w:val="32"/>
          <w:szCs w:val="32"/>
          <w:highlight w:val="none"/>
        </w:rPr>
        <w:t>一般公共服务（类）财政事务（款）一般行政管理事务（项）202</w:t>
      </w:r>
      <w:r>
        <w:rPr>
          <w:rFonts w:hint="eastAsia" w:eastAsia="方正仿宋简体"/>
          <w:sz w:val="32"/>
          <w:szCs w:val="32"/>
          <w:highlight w:val="none"/>
        </w:rPr>
        <w:t>2</w:t>
      </w:r>
      <w:r>
        <w:rPr>
          <w:rFonts w:eastAsia="方正仿宋简体"/>
          <w:sz w:val="32"/>
          <w:szCs w:val="32"/>
          <w:highlight w:val="none"/>
        </w:rPr>
        <w:t>年预算数为</w:t>
      </w:r>
      <w:r>
        <w:rPr>
          <w:rFonts w:hint="eastAsia" w:eastAsia="方正仿宋简体"/>
          <w:sz w:val="32"/>
          <w:szCs w:val="32"/>
          <w:highlight w:val="none"/>
          <w:lang w:val="en-US" w:eastAsia="zh-CN"/>
        </w:rPr>
        <w:t>0</w:t>
      </w:r>
      <w:r>
        <w:rPr>
          <w:rFonts w:eastAsia="方正仿宋简体"/>
          <w:sz w:val="32"/>
          <w:szCs w:val="32"/>
          <w:highlight w:val="none"/>
        </w:rPr>
        <w:t>万元，主要用于：局机关及参公管理事业单位开展财政综合业务、预决算编审等未单独设置项级科目的专门性财政管理工作的项目支出。如：财政监督检查支出、财政干部培训支出等。</w:t>
      </w:r>
    </w:p>
    <w:p>
      <w:pPr>
        <w:spacing w:line="580" w:lineRule="exact"/>
        <w:ind w:firstLine="643" w:firstLineChars="200"/>
        <w:rPr>
          <w:rFonts w:eastAsia="方正仿宋简体"/>
          <w:sz w:val="32"/>
          <w:szCs w:val="32"/>
          <w:highlight w:val="none"/>
        </w:rPr>
      </w:pPr>
      <w:r>
        <w:rPr>
          <w:rFonts w:eastAsia="方正仿宋简体"/>
          <w:b/>
          <w:sz w:val="32"/>
          <w:szCs w:val="32"/>
          <w:highlight w:val="none"/>
        </w:rPr>
        <w:t>3.</w:t>
      </w:r>
      <w:r>
        <w:rPr>
          <w:rFonts w:eastAsia="方正仿宋简体"/>
          <w:sz w:val="32"/>
          <w:szCs w:val="32"/>
          <w:highlight w:val="none"/>
        </w:rPr>
        <w:t>一般公共服务（类）财政事务（款）信息化建设（项）202</w:t>
      </w:r>
      <w:r>
        <w:rPr>
          <w:rFonts w:hint="eastAsia" w:eastAsia="方正仿宋简体"/>
          <w:sz w:val="32"/>
          <w:szCs w:val="32"/>
          <w:highlight w:val="none"/>
        </w:rPr>
        <w:t>2</w:t>
      </w:r>
      <w:r>
        <w:rPr>
          <w:rFonts w:eastAsia="方正仿宋简体"/>
          <w:sz w:val="32"/>
          <w:szCs w:val="32"/>
          <w:highlight w:val="none"/>
        </w:rPr>
        <w:t>年预算数为</w:t>
      </w:r>
      <w:r>
        <w:rPr>
          <w:rFonts w:hint="eastAsia" w:eastAsia="方正仿宋简体"/>
          <w:sz w:val="32"/>
          <w:szCs w:val="32"/>
          <w:highlight w:val="none"/>
          <w:lang w:val="en-US" w:eastAsia="zh-CN"/>
        </w:rPr>
        <w:t>0</w:t>
      </w:r>
      <w:r>
        <w:rPr>
          <w:rFonts w:eastAsia="方正仿宋简体"/>
          <w:sz w:val="32"/>
          <w:szCs w:val="32"/>
          <w:highlight w:val="none"/>
        </w:rPr>
        <w:t>万元，主要用于：</w:t>
      </w:r>
      <w:r>
        <w:rPr>
          <w:rFonts w:hint="eastAsia" w:eastAsia="方正仿宋简体"/>
          <w:sz w:val="32"/>
          <w:szCs w:val="32"/>
          <w:highlight w:val="none"/>
        </w:rPr>
        <w:t>县</w:t>
      </w:r>
      <w:r>
        <w:rPr>
          <w:rFonts w:eastAsia="方正仿宋简体"/>
          <w:sz w:val="32"/>
          <w:szCs w:val="32"/>
          <w:highlight w:val="none"/>
        </w:rPr>
        <w:t>级财政信息化建设及维护等方面的项目支出。</w:t>
      </w:r>
    </w:p>
    <w:p>
      <w:pPr>
        <w:spacing w:line="580" w:lineRule="exact"/>
        <w:ind w:firstLine="643" w:firstLineChars="200"/>
        <w:rPr>
          <w:rFonts w:eastAsia="方正仿宋简体"/>
          <w:sz w:val="32"/>
          <w:szCs w:val="32"/>
          <w:highlight w:val="none"/>
        </w:rPr>
      </w:pPr>
      <w:r>
        <w:rPr>
          <w:rFonts w:eastAsia="方正仿宋简体"/>
          <w:b/>
          <w:sz w:val="32"/>
          <w:szCs w:val="32"/>
          <w:highlight w:val="none"/>
        </w:rPr>
        <w:t>4.</w:t>
      </w:r>
      <w:r>
        <w:rPr>
          <w:rFonts w:eastAsia="方正仿宋简体"/>
          <w:sz w:val="32"/>
          <w:szCs w:val="32"/>
          <w:highlight w:val="none"/>
        </w:rPr>
        <w:t>一般公共服务（类）财政事务（款）事业运行（项）202</w:t>
      </w:r>
      <w:r>
        <w:rPr>
          <w:rFonts w:hint="eastAsia" w:eastAsia="方正仿宋简体"/>
          <w:sz w:val="32"/>
          <w:szCs w:val="32"/>
          <w:highlight w:val="none"/>
        </w:rPr>
        <w:t>2</w:t>
      </w:r>
      <w:r>
        <w:rPr>
          <w:rFonts w:eastAsia="方正仿宋简体"/>
          <w:sz w:val="32"/>
          <w:szCs w:val="32"/>
          <w:highlight w:val="none"/>
        </w:rPr>
        <w:t>年预算数为</w:t>
      </w:r>
      <w:r>
        <w:rPr>
          <w:rFonts w:hint="eastAsia" w:eastAsia="方正仿宋简体"/>
          <w:sz w:val="32"/>
          <w:szCs w:val="32"/>
          <w:highlight w:val="none"/>
          <w:lang w:val="en-US" w:eastAsia="zh-CN"/>
        </w:rPr>
        <w:t>0</w:t>
      </w:r>
      <w:r>
        <w:rPr>
          <w:rFonts w:eastAsia="方正仿宋简体"/>
          <w:sz w:val="32"/>
          <w:szCs w:val="32"/>
          <w:highlight w:val="none"/>
        </w:rPr>
        <w:t>万元，主要用于：下属事业单位机构正常运行、开展日常工作的基本支出。</w:t>
      </w:r>
    </w:p>
    <w:p>
      <w:pPr>
        <w:spacing w:line="580" w:lineRule="exact"/>
        <w:ind w:firstLine="643" w:firstLineChars="200"/>
        <w:rPr>
          <w:rFonts w:eastAsia="方正仿宋简体"/>
          <w:sz w:val="32"/>
          <w:szCs w:val="32"/>
          <w:highlight w:val="none"/>
        </w:rPr>
      </w:pPr>
      <w:r>
        <w:rPr>
          <w:rFonts w:eastAsia="方正仿宋简体"/>
          <w:b/>
          <w:sz w:val="32"/>
          <w:szCs w:val="32"/>
          <w:highlight w:val="none"/>
        </w:rPr>
        <w:t>5.</w:t>
      </w:r>
      <w:r>
        <w:rPr>
          <w:rFonts w:eastAsia="方正仿宋简体"/>
          <w:sz w:val="32"/>
          <w:szCs w:val="32"/>
          <w:highlight w:val="none"/>
        </w:rPr>
        <w:t>社会保障和就业（类）行政事业单位</w:t>
      </w:r>
      <w:r>
        <w:rPr>
          <w:rFonts w:hint="eastAsia" w:eastAsia="方正仿宋简体"/>
          <w:sz w:val="32"/>
          <w:szCs w:val="32"/>
          <w:highlight w:val="none"/>
        </w:rPr>
        <w:t>养老</w:t>
      </w:r>
      <w:r>
        <w:rPr>
          <w:rFonts w:eastAsia="方正仿宋简体"/>
          <w:sz w:val="32"/>
          <w:szCs w:val="32"/>
          <w:highlight w:val="none"/>
        </w:rPr>
        <w:t>支出（款）</w:t>
      </w:r>
      <w:r>
        <w:rPr>
          <w:rFonts w:hint="eastAsia" w:eastAsia="方正仿宋简体"/>
          <w:sz w:val="32"/>
          <w:szCs w:val="32"/>
          <w:highlight w:val="none"/>
        </w:rPr>
        <w:t>机关事业单位基本养老保险缴费支出</w:t>
      </w:r>
      <w:r>
        <w:rPr>
          <w:rFonts w:eastAsia="方正仿宋简体"/>
          <w:sz w:val="32"/>
          <w:szCs w:val="32"/>
          <w:highlight w:val="none"/>
        </w:rPr>
        <w:t>（项）202</w:t>
      </w:r>
      <w:r>
        <w:rPr>
          <w:rFonts w:hint="eastAsia" w:eastAsia="方正仿宋简体"/>
          <w:sz w:val="32"/>
          <w:szCs w:val="32"/>
          <w:highlight w:val="none"/>
        </w:rPr>
        <w:t>2</w:t>
      </w:r>
      <w:r>
        <w:rPr>
          <w:rFonts w:eastAsia="方正仿宋简体"/>
          <w:sz w:val="32"/>
          <w:szCs w:val="32"/>
          <w:highlight w:val="none"/>
        </w:rPr>
        <w:t>年预算数为</w:t>
      </w:r>
      <w:r>
        <w:rPr>
          <w:rFonts w:hint="eastAsia" w:eastAsia="方正仿宋简体"/>
          <w:sz w:val="32"/>
          <w:szCs w:val="32"/>
          <w:highlight w:val="none"/>
          <w:lang w:val="en-US" w:eastAsia="zh-CN"/>
        </w:rPr>
        <w:t>78.17</w:t>
      </w:r>
      <w:r>
        <w:rPr>
          <w:rFonts w:eastAsia="方正仿宋简体"/>
          <w:sz w:val="32"/>
          <w:szCs w:val="32"/>
          <w:highlight w:val="none"/>
        </w:rPr>
        <w:t>万元，</w:t>
      </w:r>
      <w:r>
        <w:rPr>
          <w:rFonts w:hint="eastAsia" w:eastAsia="方正仿宋简体"/>
          <w:sz w:val="32"/>
          <w:szCs w:val="32"/>
          <w:highlight w:val="none"/>
        </w:rPr>
        <w:t>用于单位缴纳的基本养老保险支出</w:t>
      </w:r>
      <w:r>
        <w:rPr>
          <w:rFonts w:eastAsia="方正仿宋简体"/>
          <w:sz w:val="32"/>
          <w:szCs w:val="32"/>
          <w:highlight w:val="none"/>
        </w:rPr>
        <w:t>。</w:t>
      </w:r>
    </w:p>
    <w:p>
      <w:pPr>
        <w:spacing w:line="580" w:lineRule="exact"/>
        <w:ind w:firstLine="643" w:firstLineChars="200"/>
        <w:rPr>
          <w:rFonts w:hint="eastAsia" w:eastAsia="方正仿宋简体"/>
          <w:sz w:val="32"/>
          <w:szCs w:val="32"/>
          <w:highlight w:val="none"/>
        </w:rPr>
      </w:pPr>
      <w:r>
        <w:rPr>
          <w:rFonts w:eastAsia="方正仿宋简体"/>
          <w:b/>
          <w:sz w:val="32"/>
          <w:szCs w:val="32"/>
          <w:highlight w:val="none"/>
        </w:rPr>
        <w:t>6.</w:t>
      </w:r>
      <w:r>
        <w:rPr>
          <w:rFonts w:hint="eastAsia" w:eastAsia="方正仿宋简体"/>
          <w:sz w:val="32"/>
          <w:szCs w:val="32"/>
          <w:highlight w:val="none"/>
        </w:rPr>
        <w:t>卫生健康支出（类）行政事业单位医疗（款）行政单位医疗（项）</w:t>
      </w:r>
      <w:r>
        <w:rPr>
          <w:rFonts w:eastAsia="方正仿宋简体"/>
          <w:sz w:val="32"/>
          <w:szCs w:val="32"/>
          <w:highlight w:val="none"/>
        </w:rPr>
        <w:t>202</w:t>
      </w:r>
      <w:r>
        <w:rPr>
          <w:rFonts w:hint="eastAsia" w:eastAsia="方正仿宋简体"/>
          <w:sz w:val="32"/>
          <w:szCs w:val="32"/>
          <w:highlight w:val="none"/>
        </w:rPr>
        <w:t>2</w:t>
      </w:r>
      <w:r>
        <w:rPr>
          <w:rFonts w:eastAsia="方正仿宋简体"/>
          <w:sz w:val="32"/>
          <w:szCs w:val="32"/>
          <w:highlight w:val="none"/>
        </w:rPr>
        <w:t>年预算数为</w:t>
      </w:r>
      <w:r>
        <w:rPr>
          <w:rFonts w:hint="eastAsia" w:eastAsia="方正仿宋简体"/>
          <w:sz w:val="32"/>
          <w:szCs w:val="32"/>
          <w:highlight w:val="none"/>
          <w:lang w:val="en-US" w:eastAsia="zh-CN"/>
        </w:rPr>
        <w:t>7.44</w:t>
      </w:r>
      <w:r>
        <w:rPr>
          <w:rFonts w:eastAsia="方正仿宋简体"/>
          <w:sz w:val="32"/>
          <w:szCs w:val="32"/>
          <w:highlight w:val="none"/>
        </w:rPr>
        <w:t>万元</w:t>
      </w:r>
      <w:r>
        <w:rPr>
          <w:rFonts w:hint="eastAsia" w:eastAsia="方正仿宋简体"/>
          <w:sz w:val="32"/>
          <w:szCs w:val="32"/>
          <w:highlight w:val="none"/>
          <w:lang w:val="en-US" w:eastAsia="zh-CN"/>
        </w:rPr>
        <w:t>；事业</w:t>
      </w:r>
      <w:r>
        <w:rPr>
          <w:rFonts w:hint="eastAsia" w:eastAsia="方正仿宋简体"/>
          <w:sz w:val="32"/>
          <w:szCs w:val="32"/>
          <w:highlight w:val="none"/>
        </w:rPr>
        <w:t>单位医疗（项）</w:t>
      </w:r>
      <w:r>
        <w:rPr>
          <w:rFonts w:eastAsia="方正仿宋简体"/>
          <w:sz w:val="32"/>
          <w:szCs w:val="32"/>
          <w:highlight w:val="none"/>
        </w:rPr>
        <w:t>202</w:t>
      </w:r>
      <w:r>
        <w:rPr>
          <w:rFonts w:hint="eastAsia" w:eastAsia="方正仿宋简体"/>
          <w:sz w:val="32"/>
          <w:szCs w:val="32"/>
          <w:highlight w:val="none"/>
        </w:rPr>
        <w:t>2</w:t>
      </w:r>
      <w:r>
        <w:rPr>
          <w:rFonts w:eastAsia="方正仿宋简体"/>
          <w:sz w:val="32"/>
          <w:szCs w:val="32"/>
          <w:highlight w:val="none"/>
        </w:rPr>
        <w:t>年预算数为</w:t>
      </w:r>
      <w:r>
        <w:rPr>
          <w:rFonts w:hint="eastAsia" w:eastAsia="方正仿宋简体"/>
          <w:sz w:val="32"/>
          <w:szCs w:val="32"/>
          <w:highlight w:val="none"/>
          <w:lang w:val="en-US" w:eastAsia="zh-CN"/>
        </w:rPr>
        <w:t>31.25万元，</w:t>
      </w:r>
      <w:r>
        <w:rPr>
          <w:rFonts w:hint="eastAsia" w:eastAsia="方正仿宋简体"/>
          <w:sz w:val="32"/>
          <w:szCs w:val="32"/>
          <w:highlight w:val="none"/>
        </w:rPr>
        <w:t>用于为职工缴纳的基本医疗保险支出</w:t>
      </w:r>
      <w:r>
        <w:rPr>
          <w:rFonts w:eastAsia="方正仿宋简体"/>
          <w:sz w:val="32"/>
          <w:szCs w:val="32"/>
          <w:highlight w:val="none"/>
        </w:rPr>
        <w:t>。</w:t>
      </w:r>
    </w:p>
    <w:p>
      <w:pPr>
        <w:spacing w:line="580" w:lineRule="exact"/>
        <w:ind w:firstLine="643" w:firstLineChars="200"/>
        <w:rPr>
          <w:rFonts w:eastAsia="方正仿宋简体"/>
          <w:sz w:val="32"/>
          <w:szCs w:val="32"/>
          <w:highlight w:val="none"/>
        </w:rPr>
      </w:pPr>
      <w:r>
        <w:rPr>
          <w:rFonts w:hint="eastAsia" w:eastAsia="方正仿宋简体"/>
          <w:b/>
          <w:sz w:val="32"/>
          <w:szCs w:val="32"/>
          <w:highlight w:val="none"/>
        </w:rPr>
        <w:t>7.</w:t>
      </w:r>
      <w:r>
        <w:rPr>
          <w:rFonts w:hint="eastAsia" w:eastAsia="方正仿宋简体"/>
          <w:sz w:val="32"/>
          <w:szCs w:val="32"/>
          <w:highlight w:val="none"/>
        </w:rPr>
        <w:t>卫生健康支出（类）行政事业单位医疗（款）公务员医疗补助（项）2022年预算数为</w:t>
      </w:r>
      <w:r>
        <w:rPr>
          <w:rFonts w:hint="eastAsia" w:eastAsia="方正仿宋简体"/>
          <w:sz w:val="32"/>
          <w:szCs w:val="32"/>
          <w:highlight w:val="none"/>
          <w:lang w:val="en-US" w:eastAsia="zh-CN"/>
        </w:rPr>
        <w:t>4.08</w:t>
      </w:r>
      <w:r>
        <w:rPr>
          <w:rFonts w:hint="eastAsia" w:eastAsia="方正仿宋简体"/>
          <w:sz w:val="32"/>
          <w:szCs w:val="32"/>
          <w:highlight w:val="none"/>
        </w:rPr>
        <w:t>万元，用于为职工缴纳的公务员医疗补助支出。</w:t>
      </w:r>
    </w:p>
    <w:p>
      <w:pPr>
        <w:spacing w:line="580" w:lineRule="exact"/>
        <w:ind w:firstLine="643" w:firstLineChars="200"/>
        <w:rPr>
          <w:rFonts w:hint="eastAsia" w:eastAsia="方正仿宋简体"/>
          <w:sz w:val="32"/>
          <w:szCs w:val="32"/>
          <w:highlight w:val="none"/>
        </w:rPr>
      </w:pPr>
      <w:r>
        <w:rPr>
          <w:rFonts w:hint="eastAsia" w:eastAsia="方正仿宋简体"/>
          <w:b/>
          <w:sz w:val="32"/>
          <w:szCs w:val="32"/>
          <w:highlight w:val="none"/>
        </w:rPr>
        <w:t>8</w:t>
      </w:r>
      <w:r>
        <w:rPr>
          <w:rFonts w:eastAsia="方正仿宋简体"/>
          <w:b/>
          <w:sz w:val="32"/>
          <w:szCs w:val="32"/>
          <w:highlight w:val="none"/>
        </w:rPr>
        <w:t>.</w:t>
      </w:r>
      <w:r>
        <w:rPr>
          <w:rFonts w:eastAsia="方正仿宋简体"/>
          <w:sz w:val="32"/>
          <w:szCs w:val="32"/>
          <w:highlight w:val="none"/>
        </w:rPr>
        <w:t>住房保障（类）住房改革支出（款）住房公积金（项）</w:t>
      </w:r>
      <w:r>
        <w:rPr>
          <w:rFonts w:hint="eastAsia" w:eastAsia="方正仿宋简体"/>
          <w:sz w:val="32"/>
          <w:szCs w:val="32"/>
          <w:highlight w:val="none"/>
        </w:rPr>
        <w:t>：</w:t>
      </w:r>
      <w:r>
        <w:rPr>
          <w:rFonts w:eastAsia="方正仿宋简体"/>
          <w:sz w:val="32"/>
          <w:szCs w:val="32"/>
          <w:highlight w:val="none"/>
        </w:rPr>
        <w:t>202</w:t>
      </w:r>
      <w:r>
        <w:rPr>
          <w:rFonts w:hint="eastAsia" w:eastAsia="方正仿宋简体"/>
          <w:sz w:val="32"/>
          <w:szCs w:val="32"/>
          <w:highlight w:val="none"/>
          <w:lang w:val="en-US" w:eastAsia="zh-CN"/>
        </w:rPr>
        <w:t>2</w:t>
      </w:r>
      <w:bookmarkStart w:id="2" w:name="_GoBack"/>
      <w:bookmarkEnd w:id="2"/>
      <w:r>
        <w:rPr>
          <w:rFonts w:eastAsia="方正仿宋简体"/>
          <w:sz w:val="32"/>
          <w:szCs w:val="32"/>
          <w:highlight w:val="none"/>
        </w:rPr>
        <w:t>年预算数为</w:t>
      </w:r>
      <w:r>
        <w:rPr>
          <w:rFonts w:hint="eastAsia" w:eastAsia="方正仿宋简体"/>
          <w:sz w:val="32"/>
          <w:szCs w:val="32"/>
          <w:highlight w:val="none"/>
          <w:lang w:val="en-US" w:eastAsia="zh-CN"/>
        </w:rPr>
        <w:t>0</w:t>
      </w:r>
      <w:r>
        <w:rPr>
          <w:rFonts w:eastAsia="方正仿宋简体"/>
          <w:sz w:val="32"/>
          <w:szCs w:val="32"/>
          <w:highlight w:val="none"/>
        </w:rPr>
        <w:t>万元，主要用于：</w:t>
      </w:r>
      <w:r>
        <w:rPr>
          <w:rFonts w:hint="eastAsia" w:eastAsia="方正仿宋简体"/>
          <w:sz w:val="32"/>
          <w:szCs w:val="32"/>
          <w:highlight w:val="none"/>
        </w:rPr>
        <w:t>单位</w:t>
      </w:r>
      <w:r>
        <w:rPr>
          <w:rFonts w:eastAsia="方正仿宋简体"/>
          <w:sz w:val="32"/>
          <w:szCs w:val="32"/>
          <w:highlight w:val="none"/>
        </w:rPr>
        <w:t xml:space="preserve">按人力资源和社会保障部、财政部规定的基本工资和津贴补贴以及规定比例为职工缴纳的住房公积金支出。 </w:t>
      </w:r>
    </w:p>
    <w:p>
      <w:pPr>
        <w:spacing w:line="580" w:lineRule="exact"/>
        <w:ind w:firstLine="640" w:firstLineChars="200"/>
        <w:rPr>
          <w:rFonts w:hint="eastAsia" w:eastAsia="方正黑体简体"/>
          <w:sz w:val="32"/>
          <w:szCs w:val="32"/>
          <w:highlight w:val="none"/>
        </w:rPr>
      </w:pPr>
      <w:r>
        <w:rPr>
          <w:rFonts w:hint="eastAsia" w:eastAsia="方正黑体简体"/>
          <w:sz w:val="32"/>
          <w:szCs w:val="32"/>
          <w:highlight w:val="none"/>
        </w:rPr>
        <w:t>五、一般公共预算基本支出情况说明</w:t>
      </w:r>
    </w:p>
    <w:p>
      <w:pPr>
        <w:spacing w:line="580" w:lineRule="exact"/>
        <w:ind w:firstLine="640" w:firstLineChars="200"/>
        <w:rPr>
          <w:rFonts w:hint="eastAsia" w:eastAsia="方正仿宋简体"/>
          <w:sz w:val="32"/>
          <w:szCs w:val="32"/>
          <w:highlight w:val="none"/>
        </w:rPr>
      </w:pPr>
      <w:r>
        <w:rPr>
          <w:rFonts w:hint="eastAsia" w:ascii="仿宋" w:hAnsi="仿宋" w:eastAsia="仿宋"/>
          <w:color w:val="auto"/>
          <w:sz w:val="32"/>
          <w:szCs w:val="32"/>
          <w:highlight w:val="none"/>
        </w:rPr>
        <w:t>乐至县住房和城乡建设局</w:t>
      </w:r>
      <w:r>
        <w:rPr>
          <w:rFonts w:hint="eastAsia" w:eastAsia="方正仿宋简体"/>
          <w:sz w:val="32"/>
          <w:szCs w:val="32"/>
          <w:highlight w:val="none"/>
        </w:rPr>
        <w:t>20</w:t>
      </w:r>
      <w:r>
        <w:rPr>
          <w:rFonts w:eastAsia="方正仿宋简体"/>
          <w:sz w:val="32"/>
          <w:szCs w:val="32"/>
          <w:highlight w:val="none"/>
        </w:rPr>
        <w:t>2</w:t>
      </w:r>
      <w:r>
        <w:rPr>
          <w:rFonts w:hint="eastAsia" w:eastAsia="方正仿宋简体"/>
          <w:sz w:val="32"/>
          <w:szCs w:val="32"/>
          <w:highlight w:val="none"/>
        </w:rPr>
        <w:t>2年一般公共预算基本支出</w:t>
      </w:r>
      <w:r>
        <w:rPr>
          <w:rFonts w:hint="eastAsia" w:eastAsia="方正仿宋简体"/>
          <w:sz w:val="32"/>
          <w:szCs w:val="32"/>
          <w:highlight w:val="none"/>
          <w:lang w:val="en-US" w:eastAsia="zh-CN"/>
        </w:rPr>
        <w:t>874.39</w:t>
      </w:r>
      <w:r>
        <w:rPr>
          <w:rFonts w:hint="eastAsia" w:eastAsia="方正仿宋简体"/>
          <w:sz w:val="32"/>
          <w:szCs w:val="32"/>
          <w:highlight w:val="none"/>
        </w:rPr>
        <w:t>万元，其中：</w:t>
      </w:r>
    </w:p>
    <w:p>
      <w:pPr>
        <w:spacing w:line="580" w:lineRule="exact"/>
        <w:ind w:firstLine="640" w:firstLineChars="200"/>
        <w:rPr>
          <w:rFonts w:hint="eastAsia" w:eastAsia="方正仿宋简体"/>
          <w:sz w:val="32"/>
          <w:szCs w:val="32"/>
          <w:highlight w:val="none"/>
        </w:rPr>
      </w:pPr>
      <w:r>
        <w:rPr>
          <w:rFonts w:hint="eastAsia" w:eastAsia="方正仿宋简体"/>
          <w:sz w:val="32"/>
          <w:szCs w:val="32"/>
          <w:highlight w:val="none"/>
        </w:rPr>
        <w:t>人员经费</w:t>
      </w:r>
      <w:r>
        <w:rPr>
          <w:rFonts w:hint="eastAsia" w:eastAsia="方正仿宋简体"/>
          <w:sz w:val="32"/>
          <w:szCs w:val="32"/>
          <w:highlight w:val="none"/>
          <w:lang w:val="en-US" w:eastAsia="zh-CN"/>
        </w:rPr>
        <w:t>735.97</w:t>
      </w:r>
      <w:r>
        <w:rPr>
          <w:rFonts w:hint="eastAsia" w:eastAsia="方正仿宋简体"/>
          <w:sz w:val="32"/>
          <w:szCs w:val="32"/>
          <w:highlight w:val="none"/>
        </w:rPr>
        <w:t>万元，主要包括：基本工资、津贴补贴、奖金、社会保险缴费等。</w:t>
      </w:r>
    </w:p>
    <w:p>
      <w:pPr>
        <w:spacing w:line="580" w:lineRule="exact"/>
        <w:ind w:firstLine="640" w:firstLineChars="200"/>
        <w:rPr>
          <w:rFonts w:hint="eastAsia" w:eastAsia="方正仿宋简体"/>
          <w:sz w:val="32"/>
          <w:szCs w:val="32"/>
          <w:highlight w:val="none"/>
        </w:rPr>
      </w:pPr>
      <w:r>
        <w:rPr>
          <w:rFonts w:hint="eastAsia" w:eastAsia="方正仿宋简体"/>
          <w:sz w:val="32"/>
          <w:szCs w:val="32"/>
          <w:highlight w:val="none"/>
        </w:rPr>
        <w:t>公用经费</w:t>
      </w:r>
      <w:r>
        <w:rPr>
          <w:rFonts w:hint="eastAsia" w:eastAsia="方正仿宋简体"/>
          <w:sz w:val="32"/>
          <w:szCs w:val="32"/>
          <w:highlight w:val="none"/>
          <w:lang w:val="en-US" w:eastAsia="zh-CN"/>
        </w:rPr>
        <w:t>138.42</w:t>
      </w:r>
      <w:r>
        <w:rPr>
          <w:rFonts w:hint="eastAsia" w:eastAsia="方正仿宋简体"/>
          <w:sz w:val="32"/>
          <w:szCs w:val="32"/>
          <w:highlight w:val="none"/>
        </w:rPr>
        <w:t>万元，主要包括：办公费、水费、电费、邮电费、印刷费、差旅费、维修（护）费、劳务费等。</w:t>
      </w:r>
    </w:p>
    <w:p>
      <w:pPr>
        <w:spacing w:line="580" w:lineRule="exact"/>
        <w:ind w:firstLine="640" w:firstLineChars="200"/>
        <w:rPr>
          <w:rFonts w:hint="eastAsia" w:eastAsia="方正黑体简体"/>
          <w:sz w:val="32"/>
          <w:szCs w:val="32"/>
          <w:highlight w:val="none"/>
        </w:rPr>
      </w:pPr>
      <w:r>
        <w:rPr>
          <w:rFonts w:hint="eastAsia" w:eastAsia="方正黑体简体"/>
          <w:sz w:val="32"/>
          <w:szCs w:val="32"/>
          <w:highlight w:val="none"/>
        </w:rPr>
        <w:t>六</w:t>
      </w:r>
      <w:r>
        <w:rPr>
          <w:rFonts w:eastAsia="方正黑体简体"/>
          <w:sz w:val="32"/>
          <w:szCs w:val="32"/>
          <w:highlight w:val="none"/>
        </w:rPr>
        <w:t>、</w:t>
      </w:r>
      <w:r>
        <w:rPr>
          <w:rFonts w:hint="eastAsia" w:eastAsia="方正黑体简体"/>
          <w:sz w:val="32"/>
          <w:szCs w:val="32"/>
          <w:highlight w:val="none"/>
        </w:rPr>
        <w:t>“</w:t>
      </w:r>
      <w:r>
        <w:rPr>
          <w:rFonts w:eastAsia="方正黑体简体"/>
          <w:sz w:val="32"/>
          <w:szCs w:val="32"/>
          <w:highlight w:val="none"/>
        </w:rPr>
        <w:t>三公</w:t>
      </w:r>
      <w:r>
        <w:rPr>
          <w:rFonts w:hint="eastAsia" w:eastAsia="方正黑体简体"/>
          <w:sz w:val="32"/>
          <w:szCs w:val="32"/>
          <w:highlight w:val="none"/>
        </w:rPr>
        <w:t>”</w:t>
      </w:r>
      <w:r>
        <w:rPr>
          <w:rFonts w:eastAsia="方正黑体简体"/>
          <w:sz w:val="32"/>
          <w:szCs w:val="32"/>
          <w:highlight w:val="none"/>
        </w:rPr>
        <w:t>经费财政拨款预算安排情况</w:t>
      </w:r>
      <w:r>
        <w:rPr>
          <w:rFonts w:hint="eastAsia" w:eastAsia="方正黑体简体"/>
          <w:sz w:val="32"/>
          <w:szCs w:val="32"/>
          <w:highlight w:val="none"/>
        </w:rPr>
        <w:t>说明</w:t>
      </w:r>
    </w:p>
    <w:p>
      <w:pPr>
        <w:spacing w:line="580" w:lineRule="exact"/>
        <w:ind w:firstLine="640" w:firstLineChars="200"/>
        <w:rPr>
          <w:rFonts w:eastAsia="方正仿宋简体"/>
          <w:sz w:val="32"/>
          <w:szCs w:val="32"/>
          <w:highlight w:val="none"/>
        </w:rPr>
      </w:pPr>
      <w:r>
        <w:rPr>
          <w:rFonts w:hint="eastAsia" w:ascii="仿宋" w:hAnsi="仿宋" w:eastAsia="仿宋"/>
          <w:color w:val="auto"/>
          <w:sz w:val="32"/>
          <w:szCs w:val="32"/>
          <w:highlight w:val="none"/>
        </w:rPr>
        <w:t>乐至县住房和城乡建设局</w:t>
      </w:r>
      <w:r>
        <w:rPr>
          <w:rFonts w:eastAsia="方正仿宋简体"/>
          <w:sz w:val="32"/>
          <w:szCs w:val="32"/>
          <w:highlight w:val="none"/>
        </w:rPr>
        <w:t>202</w:t>
      </w:r>
      <w:r>
        <w:rPr>
          <w:rFonts w:hint="eastAsia" w:eastAsia="方正仿宋简体"/>
          <w:sz w:val="32"/>
          <w:szCs w:val="32"/>
          <w:highlight w:val="none"/>
        </w:rPr>
        <w:t>2</w:t>
      </w:r>
      <w:r>
        <w:rPr>
          <w:rFonts w:eastAsia="方正仿宋简体"/>
          <w:sz w:val="32"/>
          <w:szCs w:val="32"/>
          <w:highlight w:val="none"/>
        </w:rPr>
        <w:t>年</w:t>
      </w:r>
      <w:r>
        <w:rPr>
          <w:rFonts w:hint="eastAsia" w:eastAsia="方正仿宋简体"/>
          <w:sz w:val="32"/>
          <w:szCs w:val="32"/>
          <w:highlight w:val="none"/>
        </w:rPr>
        <w:t>“</w:t>
      </w:r>
      <w:r>
        <w:rPr>
          <w:rFonts w:eastAsia="方正仿宋简体"/>
          <w:sz w:val="32"/>
          <w:szCs w:val="32"/>
          <w:highlight w:val="none"/>
        </w:rPr>
        <w:t>三公</w:t>
      </w:r>
      <w:r>
        <w:rPr>
          <w:rFonts w:hint="eastAsia" w:eastAsia="方正仿宋简体"/>
          <w:sz w:val="32"/>
          <w:szCs w:val="32"/>
          <w:highlight w:val="none"/>
        </w:rPr>
        <w:t>”</w:t>
      </w:r>
      <w:r>
        <w:rPr>
          <w:rFonts w:eastAsia="方正仿宋简体"/>
          <w:sz w:val="32"/>
          <w:szCs w:val="32"/>
          <w:highlight w:val="none"/>
        </w:rPr>
        <w:t>经费财政拨款预算数</w:t>
      </w:r>
      <w:r>
        <w:rPr>
          <w:rFonts w:hint="eastAsia" w:eastAsia="方正仿宋简体"/>
          <w:sz w:val="32"/>
          <w:szCs w:val="32"/>
          <w:highlight w:val="none"/>
          <w:lang w:val="en-US" w:eastAsia="zh-CN"/>
        </w:rPr>
        <w:t>14.5</w:t>
      </w:r>
      <w:r>
        <w:rPr>
          <w:rFonts w:eastAsia="方正仿宋简体"/>
          <w:sz w:val="32"/>
          <w:szCs w:val="32"/>
          <w:highlight w:val="none"/>
        </w:rPr>
        <w:t>万元，其中：因公出国（境）经费</w:t>
      </w:r>
      <w:r>
        <w:rPr>
          <w:rFonts w:hint="eastAsia" w:eastAsia="方正仿宋简体"/>
          <w:sz w:val="32"/>
          <w:szCs w:val="32"/>
          <w:highlight w:val="none"/>
          <w:lang w:val="en-US" w:eastAsia="zh-CN"/>
        </w:rPr>
        <w:t>0</w:t>
      </w:r>
      <w:r>
        <w:rPr>
          <w:rFonts w:eastAsia="方正仿宋简体"/>
          <w:sz w:val="32"/>
          <w:szCs w:val="32"/>
          <w:highlight w:val="none"/>
        </w:rPr>
        <w:t>万元，公务接待费</w:t>
      </w:r>
      <w:r>
        <w:rPr>
          <w:rFonts w:hint="eastAsia" w:eastAsia="方正仿宋简体"/>
          <w:sz w:val="32"/>
          <w:szCs w:val="32"/>
          <w:highlight w:val="none"/>
          <w:lang w:val="en-US" w:eastAsia="zh-CN"/>
        </w:rPr>
        <w:t>2</w:t>
      </w:r>
      <w:r>
        <w:rPr>
          <w:rFonts w:eastAsia="方正仿宋简体"/>
          <w:sz w:val="32"/>
          <w:szCs w:val="32"/>
          <w:highlight w:val="none"/>
        </w:rPr>
        <w:t>万元，公务用车购置及运行维护费</w:t>
      </w:r>
      <w:r>
        <w:rPr>
          <w:rFonts w:hint="eastAsia" w:eastAsia="方正仿宋简体"/>
          <w:sz w:val="32"/>
          <w:szCs w:val="32"/>
          <w:highlight w:val="none"/>
          <w:lang w:val="en-US" w:eastAsia="zh-CN"/>
        </w:rPr>
        <w:t>12.5</w:t>
      </w:r>
      <w:r>
        <w:rPr>
          <w:rFonts w:eastAsia="方正仿宋简体"/>
          <w:sz w:val="32"/>
          <w:szCs w:val="32"/>
          <w:highlight w:val="none"/>
        </w:rPr>
        <w:t>万元。</w:t>
      </w:r>
    </w:p>
    <w:p>
      <w:pPr>
        <w:spacing w:line="580" w:lineRule="exact"/>
        <w:ind w:firstLine="643" w:firstLineChars="200"/>
        <w:rPr>
          <w:rFonts w:hint="eastAsia" w:eastAsia="方正楷体简体"/>
          <w:b/>
          <w:sz w:val="32"/>
          <w:szCs w:val="32"/>
          <w:highlight w:val="none"/>
        </w:rPr>
      </w:pPr>
      <w:r>
        <w:rPr>
          <w:rFonts w:eastAsia="方正楷体简体"/>
          <w:b/>
          <w:sz w:val="32"/>
          <w:szCs w:val="32"/>
          <w:highlight w:val="none"/>
        </w:rPr>
        <w:t>（一）因公出国（境）经费较20</w:t>
      </w:r>
      <w:r>
        <w:rPr>
          <w:rFonts w:hint="eastAsia" w:eastAsia="方正楷体简体"/>
          <w:b/>
          <w:sz w:val="32"/>
          <w:szCs w:val="32"/>
          <w:highlight w:val="none"/>
        </w:rPr>
        <w:t>21</w:t>
      </w:r>
      <w:r>
        <w:rPr>
          <w:rFonts w:eastAsia="方正楷体简体"/>
          <w:b/>
          <w:sz w:val="32"/>
          <w:szCs w:val="32"/>
          <w:highlight w:val="none"/>
        </w:rPr>
        <w:t>年预算持平。</w:t>
      </w:r>
    </w:p>
    <w:p>
      <w:pPr>
        <w:spacing w:line="580" w:lineRule="exact"/>
        <w:ind w:firstLine="640" w:firstLineChars="200"/>
        <w:rPr>
          <w:rFonts w:eastAsia="方正仿宋简体"/>
          <w:sz w:val="32"/>
          <w:szCs w:val="32"/>
          <w:highlight w:val="none"/>
        </w:rPr>
      </w:pPr>
      <w:r>
        <w:rPr>
          <w:rFonts w:eastAsia="方正仿宋简体"/>
          <w:sz w:val="32"/>
          <w:szCs w:val="32"/>
          <w:highlight w:val="none"/>
        </w:rPr>
        <w:t>本年度拟安排出国（境）</w:t>
      </w:r>
      <w:r>
        <w:rPr>
          <w:rFonts w:hint="eastAsia" w:eastAsia="方正仿宋简体"/>
          <w:sz w:val="32"/>
          <w:szCs w:val="32"/>
          <w:highlight w:val="none"/>
          <w:lang w:val="en-US" w:eastAsia="zh-CN"/>
        </w:rPr>
        <w:t>0</w:t>
      </w:r>
      <w:r>
        <w:rPr>
          <w:rFonts w:eastAsia="方正仿宋简体"/>
          <w:sz w:val="32"/>
          <w:szCs w:val="32"/>
          <w:highlight w:val="none"/>
        </w:rPr>
        <w:t>人次。</w:t>
      </w:r>
    </w:p>
    <w:p>
      <w:pPr>
        <w:numPr>
          <w:ilvl w:val="0"/>
          <w:numId w:val="1"/>
        </w:numPr>
        <w:spacing w:line="580" w:lineRule="exact"/>
        <w:ind w:firstLine="643" w:firstLineChars="200"/>
        <w:rPr>
          <w:rFonts w:eastAsia="方正楷体简体"/>
          <w:b/>
          <w:sz w:val="32"/>
          <w:szCs w:val="32"/>
          <w:highlight w:val="none"/>
        </w:rPr>
      </w:pPr>
      <w:r>
        <w:rPr>
          <w:rFonts w:eastAsia="方正楷体简体"/>
          <w:b/>
          <w:sz w:val="32"/>
          <w:szCs w:val="32"/>
          <w:highlight w:val="none"/>
        </w:rPr>
        <w:t>公务接待费较20</w:t>
      </w:r>
      <w:r>
        <w:rPr>
          <w:rFonts w:hint="eastAsia" w:eastAsia="方正楷体简体"/>
          <w:b/>
          <w:sz w:val="32"/>
          <w:szCs w:val="32"/>
          <w:highlight w:val="none"/>
        </w:rPr>
        <w:t>21</w:t>
      </w:r>
      <w:r>
        <w:rPr>
          <w:rFonts w:eastAsia="方正楷体简体"/>
          <w:b/>
          <w:sz w:val="32"/>
          <w:szCs w:val="32"/>
          <w:highlight w:val="none"/>
        </w:rPr>
        <w:t>年预算持平。</w:t>
      </w:r>
    </w:p>
    <w:p>
      <w:pPr>
        <w:numPr>
          <w:ilvl w:val="0"/>
          <w:numId w:val="0"/>
        </w:numPr>
        <w:spacing w:line="580" w:lineRule="exact"/>
        <w:ind w:firstLine="640" w:firstLineChars="200"/>
        <w:rPr>
          <w:rFonts w:eastAsia="方正仿宋简体"/>
          <w:sz w:val="32"/>
          <w:szCs w:val="32"/>
          <w:highlight w:val="none"/>
        </w:rPr>
      </w:pPr>
      <w:r>
        <w:rPr>
          <w:rFonts w:eastAsia="方正仿宋简体"/>
          <w:sz w:val="32"/>
          <w:szCs w:val="32"/>
          <w:highlight w:val="none"/>
        </w:rPr>
        <w:t>202</w:t>
      </w:r>
      <w:r>
        <w:rPr>
          <w:rFonts w:hint="eastAsia" w:eastAsia="方正仿宋简体"/>
          <w:sz w:val="32"/>
          <w:szCs w:val="32"/>
          <w:highlight w:val="none"/>
        </w:rPr>
        <w:t>2</w:t>
      </w:r>
      <w:r>
        <w:rPr>
          <w:rFonts w:eastAsia="方正仿宋简体"/>
          <w:sz w:val="32"/>
          <w:szCs w:val="32"/>
          <w:highlight w:val="none"/>
        </w:rPr>
        <w:t>年公务接待费计划用于</w:t>
      </w:r>
      <w:r>
        <w:rPr>
          <w:rFonts w:hint="eastAsia" w:eastAsia="方正仿宋简体"/>
          <w:sz w:val="32"/>
          <w:szCs w:val="32"/>
          <w:highlight w:val="none"/>
          <w:lang w:val="en-US" w:eastAsia="zh-CN"/>
        </w:rPr>
        <w:t>开展公务接待活动</w:t>
      </w:r>
      <w:r>
        <w:rPr>
          <w:rFonts w:eastAsia="方正仿宋简体"/>
          <w:sz w:val="32"/>
          <w:szCs w:val="32"/>
          <w:highlight w:val="none"/>
        </w:rPr>
        <w:t xml:space="preserve">。 </w:t>
      </w:r>
    </w:p>
    <w:p>
      <w:pPr>
        <w:spacing w:line="580" w:lineRule="exact"/>
        <w:ind w:firstLine="643" w:firstLineChars="200"/>
        <w:rPr>
          <w:rFonts w:eastAsia="方正楷体简体"/>
          <w:b/>
          <w:sz w:val="32"/>
          <w:szCs w:val="32"/>
          <w:highlight w:val="none"/>
        </w:rPr>
      </w:pPr>
      <w:r>
        <w:rPr>
          <w:rFonts w:eastAsia="方正楷体简体"/>
          <w:b/>
          <w:sz w:val="32"/>
          <w:szCs w:val="32"/>
          <w:highlight w:val="none"/>
        </w:rPr>
        <w:t>（三）</w:t>
      </w:r>
      <w:r>
        <w:rPr>
          <w:rFonts w:hint="eastAsia" w:eastAsia="方正楷体简体"/>
          <w:b/>
          <w:sz w:val="32"/>
          <w:szCs w:val="32"/>
          <w:highlight w:val="none"/>
        </w:rPr>
        <w:t>公务用车购置及运行维护费较2021年预算</w:t>
      </w:r>
      <w:r>
        <w:rPr>
          <w:rFonts w:hint="eastAsia" w:eastAsia="方正楷体简体"/>
          <w:b/>
          <w:sz w:val="32"/>
          <w:szCs w:val="32"/>
          <w:highlight w:val="none"/>
          <w:lang w:val="en-US" w:eastAsia="zh-CN"/>
        </w:rPr>
        <w:t>上升25</w:t>
      </w:r>
      <w:r>
        <w:rPr>
          <w:rFonts w:hint="eastAsia" w:eastAsia="方正楷体简体"/>
          <w:b/>
          <w:sz w:val="32"/>
          <w:szCs w:val="32"/>
          <w:highlight w:val="none"/>
        </w:rPr>
        <w:t>%。</w:t>
      </w:r>
    </w:p>
    <w:p>
      <w:pPr>
        <w:spacing w:line="580" w:lineRule="exact"/>
        <w:ind w:firstLine="640" w:firstLineChars="200"/>
        <w:rPr>
          <w:rFonts w:eastAsia="方正仿宋简体"/>
          <w:sz w:val="32"/>
          <w:szCs w:val="32"/>
          <w:highlight w:val="none"/>
        </w:rPr>
      </w:pPr>
      <w:r>
        <w:rPr>
          <w:rFonts w:eastAsia="方正仿宋简体"/>
          <w:sz w:val="32"/>
          <w:szCs w:val="32"/>
          <w:highlight w:val="none"/>
        </w:rPr>
        <w:t>单位现有公务用车</w:t>
      </w:r>
      <w:r>
        <w:rPr>
          <w:rFonts w:hint="eastAsia" w:eastAsia="方正仿宋简体"/>
          <w:sz w:val="32"/>
          <w:szCs w:val="32"/>
          <w:highlight w:val="none"/>
          <w:lang w:val="en-US" w:eastAsia="zh-CN"/>
        </w:rPr>
        <w:t>5</w:t>
      </w:r>
      <w:r>
        <w:rPr>
          <w:rFonts w:eastAsia="方正仿宋简体"/>
          <w:sz w:val="32"/>
          <w:szCs w:val="32"/>
          <w:highlight w:val="none"/>
        </w:rPr>
        <w:t>辆，其中：</w:t>
      </w:r>
      <w:r>
        <w:rPr>
          <w:rFonts w:hint="eastAsia" w:eastAsia="方正仿宋简体"/>
          <w:sz w:val="32"/>
          <w:szCs w:val="32"/>
          <w:highlight w:val="none"/>
          <w:lang w:val="en-US" w:eastAsia="zh-CN"/>
        </w:rPr>
        <w:t>其他</w:t>
      </w:r>
      <w:r>
        <w:rPr>
          <w:rFonts w:hint="eastAsia" w:ascii="仿宋_GB2312" w:hAnsi="Times New Roman" w:eastAsia="仿宋_GB2312" w:cs="Times New Roman"/>
          <w:sz w:val="32"/>
          <w:szCs w:val="32"/>
          <w:highlight w:val="none"/>
          <w:lang w:val="en-US" w:eastAsia="zh-CN"/>
        </w:rPr>
        <w:t>公务用车2辆，特种专业技术用车3辆</w:t>
      </w:r>
      <w:r>
        <w:rPr>
          <w:rFonts w:eastAsia="方正仿宋简体"/>
          <w:sz w:val="32"/>
          <w:szCs w:val="32"/>
          <w:highlight w:val="none"/>
        </w:rPr>
        <w:t>。</w:t>
      </w:r>
    </w:p>
    <w:p>
      <w:pPr>
        <w:spacing w:line="580" w:lineRule="exact"/>
        <w:ind w:firstLine="640" w:firstLineChars="200"/>
        <w:rPr>
          <w:rFonts w:eastAsia="方正仿宋简体"/>
          <w:sz w:val="32"/>
          <w:szCs w:val="32"/>
          <w:highlight w:val="none"/>
        </w:rPr>
      </w:pPr>
      <w:r>
        <w:rPr>
          <w:rFonts w:eastAsia="方正仿宋简体"/>
          <w:sz w:val="32"/>
          <w:szCs w:val="32"/>
          <w:highlight w:val="none"/>
        </w:rPr>
        <w:t>公务用车购置费</w:t>
      </w:r>
      <w:r>
        <w:rPr>
          <w:rFonts w:hint="eastAsia" w:eastAsia="方正仿宋简体"/>
          <w:sz w:val="32"/>
          <w:szCs w:val="32"/>
          <w:highlight w:val="none"/>
          <w:lang w:val="en-US" w:eastAsia="zh-CN"/>
        </w:rPr>
        <w:t>0</w:t>
      </w:r>
      <w:r>
        <w:rPr>
          <w:rFonts w:eastAsia="方正仿宋简体"/>
          <w:sz w:val="32"/>
          <w:szCs w:val="32"/>
          <w:highlight w:val="none"/>
        </w:rPr>
        <w:t>万元。</w:t>
      </w:r>
    </w:p>
    <w:p>
      <w:pPr>
        <w:spacing w:line="580" w:lineRule="exact"/>
        <w:ind w:firstLine="640" w:firstLineChars="200"/>
        <w:rPr>
          <w:rFonts w:hint="eastAsia" w:eastAsia="方正仿宋简体"/>
          <w:sz w:val="32"/>
          <w:szCs w:val="32"/>
          <w:highlight w:val="none"/>
        </w:rPr>
      </w:pPr>
      <w:r>
        <w:rPr>
          <w:rFonts w:eastAsia="方正仿宋简体"/>
          <w:sz w:val="32"/>
          <w:szCs w:val="32"/>
          <w:highlight w:val="none"/>
        </w:rPr>
        <w:t>公务用车运行维护费</w:t>
      </w:r>
      <w:r>
        <w:rPr>
          <w:rFonts w:hint="eastAsia" w:eastAsia="方正仿宋简体"/>
          <w:sz w:val="32"/>
          <w:szCs w:val="32"/>
          <w:highlight w:val="none"/>
          <w:lang w:val="en-US" w:eastAsia="zh-CN"/>
        </w:rPr>
        <w:t>12.5</w:t>
      </w:r>
      <w:r>
        <w:rPr>
          <w:rFonts w:eastAsia="方正仿宋简体"/>
          <w:sz w:val="32"/>
          <w:szCs w:val="32"/>
          <w:highlight w:val="none"/>
        </w:rPr>
        <w:t>万元，较20</w:t>
      </w:r>
      <w:r>
        <w:rPr>
          <w:rFonts w:hint="eastAsia" w:eastAsia="方正仿宋简体"/>
          <w:sz w:val="32"/>
          <w:szCs w:val="32"/>
          <w:highlight w:val="none"/>
        </w:rPr>
        <w:t>21</w:t>
      </w:r>
      <w:r>
        <w:rPr>
          <w:rFonts w:eastAsia="方正仿宋简体"/>
          <w:sz w:val="32"/>
          <w:szCs w:val="32"/>
          <w:highlight w:val="none"/>
        </w:rPr>
        <w:t>年预算</w:t>
      </w:r>
      <w:r>
        <w:rPr>
          <w:rFonts w:hint="eastAsia" w:eastAsia="方正仿宋简体"/>
          <w:sz w:val="32"/>
          <w:szCs w:val="32"/>
          <w:highlight w:val="none"/>
          <w:lang w:val="en-US" w:eastAsia="zh-CN"/>
        </w:rPr>
        <w:t>上升25</w:t>
      </w:r>
      <w:r>
        <w:rPr>
          <w:rFonts w:eastAsia="方正仿宋简体"/>
          <w:sz w:val="32"/>
          <w:szCs w:val="32"/>
          <w:highlight w:val="none"/>
        </w:rPr>
        <w:t>%。用于</w:t>
      </w:r>
      <w:r>
        <w:rPr>
          <w:rFonts w:hint="eastAsia" w:eastAsia="方正仿宋简体"/>
          <w:sz w:val="32"/>
          <w:szCs w:val="32"/>
          <w:highlight w:val="none"/>
          <w:lang w:val="en-US" w:eastAsia="zh-CN"/>
        </w:rPr>
        <w:t>5</w:t>
      </w:r>
      <w:r>
        <w:rPr>
          <w:rFonts w:eastAsia="方正仿宋简体"/>
          <w:sz w:val="32"/>
          <w:szCs w:val="32"/>
          <w:highlight w:val="none"/>
        </w:rPr>
        <w:t>辆公务用车燃油、维修、保险等方面支出。</w:t>
      </w:r>
    </w:p>
    <w:p>
      <w:pPr>
        <w:spacing w:line="580" w:lineRule="exact"/>
        <w:ind w:firstLine="640" w:firstLineChars="200"/>
        <w:rPr>
          <w:rFonts w:hint="eastAsia" w:eastAsia="方正黑体简体"/>
          <w:sz w:val="32"/>
          <w:szCs w:val="32"/>
          <w:highlight w:val="none"/>
        </w:rPr>
      </w:pPr>
      <w:r>
        <w:rPr>
          <w:rFonts w:hint="eastAsia" w:eastAsia="方正黑体简体"/>
          <w:sz w:val="32"/>
          <w:szCs w:val="32"/>
          <w:highlight w:val="none"/>
        </w:rPr>
        <w:t>七、政府性基金预算支出情况说明</w:t>
      </w:r>
    </w:p>
    <w:p>
      <w:pPr>
        <w:spacing w:line="580" w:lineRule="exact"/>
        <w:ind w:firstLine="640" w:firstLineChars="200"/>
        <w:rPr>
          <w:rFonts w:hint="eastAsia" w:eastAsia="方正仿宋简体"/>
          <w:sz w:val="32"/>
          <w:szCs w:val="32"/>
          <w:highlight w:val="none"/>
        </w:rPr>
      </w:pPr>
      <w:r>
        <w:rPr>
          <w:rFonts w:hint="eastAsia" w:ascii="仿宋" w:hAnsi="仿宋" w:eastAsia="仿宋"/>
          <w:color w:val="auto"/>
          <w:sz w:val="32"/>
          <w:szCs w:val="32"/>
          <w:highlight w:val="none"/>
        </w:rPr>
        <w:t>乐至县住房和城乡建设局</w:t>
      </w:r>
      <w:r>
        <w:rPr>
          <w:rFonts w:hint="eastAsia" w:eastAsia="方正仿宋简体"/>
          <w:sz w:val="32"/>
          <w:szCs w:val="32"/>
          <w:highlight w:val="none"/>
        </w:rPr>
        <w:t>20</w:t>
      </w:r>
      <w:r>
        <w:rPr>
          <w:rFonts w:eastAsia="方正仿宋简体"/>
          <w:sz w:val="32"/>
          <w:szCs w:val="32"/>
          <w:highlight w:val="none"/>
        </w:rPr>
        <w:t>2</w:t>
      </w:r>
      <w:r>
        <w:rPr>
          <w:rFonts w:hint="eastAsia" w:eastAsia="方正仿宋简体"/>
          <w:sz w:val="32"/>
          <w:szCs w:val="32"/>
          <w:highlight w:val="none"/>
        </w:rPr>
        <w:t>2年没有使用政府性基金预算拨款安排的支出。</w:t>
      </w:r>
    </w:p>
    <w:p>
      <w:pPr>
        <w:spacing w:line="580" w:lineRule="exact"/>
        <w:ind w:firstLine="640" w:firstLineChars="200"/>
        <w:rPr>
          <w:rFonts w:hint="eastAsia" w:eastAsia="方正黑体简体"/>
          <w:sz w:val="32"/>
          <w:szCs w:val="32"/>
          <w:highlight w:val="none"/>
        </w:rPr>
      </w:pPr>
      <w:r>
        <w:rPr>
          <w:rFonts w:hint="eastAsia" w:eastAsia="方正黑体简体"/>
          <w:sz w:val="32"/>
          <w:szCs w:val="32"/>
          <w:highlight w:val="none"/>
        </w:rPr>
        <w:t>八、国有资本经营预算支出情况说明</w:t>
      </w:r>
    </w:p>
    <w:p>
      <w:pPr>
        <w:spacing w:line="580" w:lineRule="exact"/>
        <w:ind w:firstLine="640" w:firstLineChars="200"/>
        <w:rPr>
          <w:rFonts w:eastAsia="方正仿宋简体"/>
          <w:sz w:val="32"/>
          <w:szCs w:val="32"/>
          <w:highlight w:val="none"/>
        </w:rPr>
      </w:pPr>
      <w:r>
        <w:rPr>
          <w:rFonts w:hint="eastAsia" w:ascii="仿宋" w:hAnsi="仿宋" w:eastAsia="仿宋"/>
          <w:color w:val="auto"/>
          <w:sz w:val="32"/>
          <w:szCs w:val="32"/>
          <w:highlight w:val="none"/>
        </w:rPr>
        <w:t>乐至县住房和城乡建设局</w:t>
      </w:r>
      <w:r>
        <w:rPr>
          <w:rFonts w:hint="eastAsia" w:eastAsia="方正仿宋简体"/>
          <w:sz w:val="32"/>
          <w:szCs w:val="32"/>
          <w:highlight w:val="none"/>
        </w:rPr>
        <w:t>20</w:t>
      </w:r>
      <w:r>
        <w:rPr>
          <w:rFonts w:eastAsia="方正仿宋简体"/>
          <w:sz w:val="32"/>
          <w:szCs w:val="32"/>
          <w:highlight w:val="none"/>
        </w:rPr>
        <w:t>2</w:t>
      </w:r>
      <w:r>
        <w:rPr>
          <w:rFonts w:hint="eastAsia" w:eastAsia="方正仿宋简体"/>
          <w:sz w:val="32"/>
          <w:szCs w:val="32"/>
          <w:highlight w:val="none"/>
        </w:rPr>
        <w:t>2年没有使用国有资本经营预算拨款安排的支出。</w:t>
      </w:r>
    </w:p>
    <w:p>
      <w:pPr>
        <w:spacing w:line="580" w:lineRule="exact"/>
        <w:ind w:firstLine="640" w:firstLineChars="200"/>
        <w:rPr>
          <w:rFonts w:hint="eastAsia" w:eastAsia="方正黑体简体"/>
          <w:sz w:val="32"/>
          <w:szCs w:val="32"/>
          <w:highlight w:val="none"/>
        </w:rPr>
      </w:pPr>
      <w:r>
        <w:rPr>
          <w:rFonts w:hint="eastAsia" w:eastAsia="方正黑体简体"/>
          <w:sz w:val="32"/>
          <w:szCs w:val="32"/>
          <w:highlight w:val="none"/>
        </w:rPr>
        <w:t>九、其他重要事项的情况说明</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（一）机关运行经费</w:t>
      </w:r>
    </w:p>
    <w:p>
      <w:pPr>
        <w:spacing w:line="580" w:lineRule="exact"/>
        <w:ind w:firstLine="640" w:firstLineChars="200"/>
        <w:rPr>
          <w:rFonts w:eastAsia="方正仿宋简体"/>
          <w:sz w:val="32"/>
          <w:szCs w:val="32"/>
          <w:highlight w:val="none"/>
        </w:rPr>
      </w:pPr>
      <w:r>
        <w:rPr>
          <w:rFonts w:hint="eastAsia" w:ascii="仿宋" w:hAnsi="仿宋" w:eastAsia="仿宋"/>
          <w:color w:val="auto"/>
          <w:sz w:val="32"/>
          <w:szCs w:val="32"/>
          <w:highlight w:val="none"/>
        </w:rPr>
        <w:t>乐至县住房和城乡建设局</w:t>
      </w:r>
      <w:r>
        <w:rPr>
          <w:rFonts w:eastAsia="方正仿宋简体"/>
          <w:sz w:val="32"/>
          <w:szCs w:val="32"/>
          <w:highlight w:val="none"/>
        </w:rPr>
        <w:t>202</w:t>
      </w:r>
      <w:r>
        <w:rPr>
          <w:rFonts w:hint="eastAsia" w:eastAsia="方正仿宋简体"/>
          <w:sz w:val="32"/>
          <w:szCs w:val="32"/>
          <w:highlight w:val="none"/>
        </w:rPr>
        <w:t>2</w:t>
      </w:r>
      <w:r>
        <w:rPr>
          <w:rFonts w:eastAsia="方正仿宋简体"/>
          <w:sz w:val="32"/>
          <w:szCs w:val="32"/>
          <w:highlight w:val="none"/>
        </w:rPr>
        <w:t>年机关运行经费财政拨款预算为</w:t>
      </w:r>
      <w:r>
        <w:rPr>
          <w:rFonts w:hint="eastAsia" w:eastAsia="方正仿宋简体"/>
          <w:sz w:val="32"/>
          <w:szCs w:val="32"/>
          <w:highlight w:val="none"/>
          <w:lang w:val="en-US" w:eastAsia="zh-CN"/>
        </w:rPr>
        <w:t>138.42</w:t>
      </w:r>
      <w:r>
        <w:rPr>
          <w:rFonts w:eastAsia="方正仿宋简体"/>
          <w:sz w:val="32"/>
          <w:szCs w:val="32"/>
          <w:highlight w:val="none"/>
        </w:rPr>
        <w:t>万元，比20</w:t>
      </w:r>
      <w:r>
        <w:rPr>
          <w:rFonts w:hint="eastAsia" w:eastAsia="方正仿宋简体"/>
          <w:sz w:val="32"/>
          <w:szCs w:val="32"/>
          <w:highlight w:val="none"/>
        </w:rPr>
        <w:t>21</w:t>
      </w:r>
      <w:r>
        <w:rPr>
          <w:rFonts w:eastAsia="方正仿宋简体"/>
          <w:sz w:val="32"/>
          <w:szCs w:val="32"/>
          <w:highlight w:val="none"/>
        </w:rPr>
        <w:t>年预算</w:t>
      </w:r>
      <w:r>
        <w:rPr>
          <w:rFonts w:hint="eastAsia" w:eastAsia="方正仿宋简体"/>
          <w:sz w:val="32"/>
          <w:szCs w:val="32"/>
          <w:highlight w:val="none"/>
          <w:lang w:val="en-US" w:eastAsia="zh-CN"/>
        </w:rPr>
        <w:t>数110.2万元</w:t>
      </w:r>
      <w:r>
        <w:rPr>
          <w:rFonts w:eastAsia="方正仿宋简体"/>
          <w:sz w:val="32"/>
          <w:szCs w:val="32"/>
          <w:highlight w:val="none"/>
        </w:rPr>
        <w:t>增加</w:t>
      </w:r>
      <w:r>
        <w:rPr>
          <w:rFonts w:hint="eastAsia" w:eastAsia="方正仿宋简体"/>
          <w:sz w:val="32"/>
          <w:szCs w:val="32"/>
          <w:highlight w:val="none"/>
          <w:lang w:val="en-US" w:eastAsia="zh-CN"/>
        </w:rPr>
        <w:t>28.22</w:t>
      </w:r>
      <w:r>
        <w:rPr>
          <w:rFonts w:eastAsia="方正仿宋简体"/>
          <w:sz w:val="32"/>
          <w:szCs w:val="32"/>
          <w:highlight w:val="none"/>
        </w:rPr>
        <w:t>万元，增长</w:t>
      </w:r>
      <w:r>
        <w:rPr>
          <w:rFonts w:hint="eastAsia" w:eastAsia="方正仿宋简体"/>
          <w:sz w:val="32"/>
          <w:szCs w:val="32"/>
          <w:highlight w:val="none"/>
          <w:lang w:val="en-US" w:eastAsia="zh-CN"/>
        </w:rPr>
        <w:t>25.61</w:t>
      </w:r>
      <w:r>
        <w:rPr>
          <w:rFonts w:eastAsia="方正仿宋简体"/>
          <w:sz w:val="32"/>
          <w:szCs w:val="32"/>
          <w:highlight w:val="none"/>
        </w:rPr>
        <w:t>%。</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（二）政府采购情况</w:t>
      </w:r>
    </w:p>
    <w:p>
      <w:pPr>
        <w:spacing w:line="580" w:lineRule="exact"/>
        <w:ind w:firstLine="640" w:firstLineChars="200"/>
        <w:rPr>
          <w:rFonts w:eastAsia="方正仿宋简体"/>
          <w:sz w:val="32"/>
          <w:szCs w:val="32"/>
          <w:highlight w:val="none"/>
        </w:rPr>
      </w:pPr>
      <w:r>
        <w:rPr>
          <w:rFonts w:eastAsia="方正仿宋简体"/>
          <w:sz w:val="32"/>
          <w:szCs w:val="32"/>
          <w:highlight w:val="none"/>
        </w:rPr>
        <w:t>202</w:t>
      </w:r>
      <w:r>
        <w:rPr>
          <w:rFonts w:hint="eastAsia" w:eastAsia="方正仿宋简体"/>
          <w:sz w:val="32"/>
          <w:szCs w:val="32"/>
          <w:highlight w:val="none"/>
        </w:rPr>
        <w:t>2</w:t>
      </w:r>
      <w:r>
        <w:rPr>
          <w:rFonts w:eastAsia="方正仿宋简体"/>
          <w:sz w:val="32"/>
          <w:szCs w:val="32"/>
          <w:highlight w:val="none"/>
        </w:rPr>
        <w:t>年，</w:t>
      </w:r>
      <w:r>
        <w:rPr>
          <w:rFonts w:hint="eastAsia" w:ascii="仿宋" w:hAnsi="仿宋" w:eastAsia="仿宋"/>
          <w:color w:val="auto"/>
          <w:sz w:val="32"/>
          <w:szCs w:val="32"/>
          <w:highlight w:val="none"/>
        </w:rPr>
        <w:t>乐至县住房和城乡建设局</w:t>
      </w:r>
      <w:r>
        <w:rPr>
          <w:rFonts w:eastAsia="方正仿宋简体"/>
          <w:sz w:val="32"/>
          <w:szCs w:val="32"/>
          <w:highlight w:val="none"/>
        </w:rPr>
        <w:t>安排政府采购预算</w:t>
      </w:r>
      <w:r>
        <w:rPr>
          <w:rFonts w:hint="eastAsia" w:eastAsia="方正仿宋简体"/>
          <w:sz w:val="32"/>
          <w:szCs w:val="32"/>
          <w:highlight w:val="none"/>
          <w:lang w:val="en-US" w:eastAsia="zh-CN"/>
        </w:rPr>
        <w:t>5</w:t>
      </w:r>
      <w:r>
        <w:rPr>
          <w:rFonts w:eastAsia="方正仿宋简体"/>
          <w:sz w:val="32"/>
          <w:szCs w:val="32"/>
          <w:highlight w:val="none"/>
        </w:rPr>
        <w:t>万元，主要用于采购</w:t>
      </w:r>
      <w:r>
        <w:rPr>
          <w:rFonts w:hint="eastAsia" w:eastAsia="方正仿宋简体"/>
          <w:sz w:val="32"/>
          <w:szCs w:val="32"/>
          <w:highlight w:val="none"/>
          <w:lang w:val="en-US" w:eastAsia="zh-CN"/>
        </w:rPr>
        <w:t>办公设备</w:t>
      </w:r>
      <w:r>
        <w:rPr>
          <w:rFonts w:eastAsia="方正仿宋简体"/>
          <w:sz w:val="32"/>
          <w:szCs w:val="32"/>
          <w:highlight w:val="none"/>
        </w:rPr>
        <w:t>等。</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（三）国有资产占有使用情况</w:t>
      </w:r>
    </w:p>
    <w:p>
      <w:pPr>
        <w:spacing w:line="580" w:lineRule="exact"/>
        <w:ind w:firstLine="640" w:firstLineChars="200"/>
        <w:rPr>
          <w:rFonts w:hint="eastAsia" w:eastAsia="方正仿宋简体"/>
          <w:sz w:val="32"/>
          <w:szCs w:val="32"/>
          <w:highlight w:val="none"/>
        </w:rPr>
      </w:pPr>
      <w:r>
        <w:rPr>
          <w:rFonts w:hint="eastAsia" w:eastAsia="方正仿宋简体"/>
          <w:sz w:val="32"/>
          <w:szCs w:val="32"/>
          <w:highlight w:val="none"/>
        </w:rPr>
        <w:t>截至2021年底，</w:t>
      </w:r>
      <w:r>
        <w:rPr>
          <w:rFonts w:hint="eastAsia" w:ascii="仿宋" w:hAnsi="仿宋" w:eastAsia="仿宋"/>
          <w:color w:val="auto"/>
          <w:sz w:val="32"/>
          <w:szCs w:val="32"/>
          <w:highlight w:val="none"/>
        </w:rPr>
        <w:t>乐至县住房和城乡建设局</w:t>
      </w:r>
      <w:r>
        <w:rPr>
          <w:rFonts w:hint="eastAsia" w:eastAsia="方正仿宋简体"/>
          <w:sz w:val="32"/>
          <w:szCs w:val="32"/>
          <w:highlight w:val="none"/>
        </w:rPr>
        <w:t>共有车辆</w:t>
      </w:r>
      <w:r>
        <w:rPr>
          <w:rFonts w:hint="eastAsia" w:eastAsia="方正仿宋简体"/>
          <w:sz w:val="32"/>
          <w:szCs w:val="32"/>
          <w:highlight w:val="none"/>
          <w:lang w:val="en-US" w:eastAsia="zh-CN"/>
        </w:rPr>
        <w:t>5</w:t>
      </w:r>
      <w:r>
        <w:rPr>
          <w:rFonts w:hint="eastAsia" w:eastAsia="方正仿宋简体"/>
          <w:sz w:val="32"/>
          <w:szCs w:val="32"/>
          <w:highlight w:val="none"/>
        </w:rPr>
        <w:t>辆，其中，领导干部用车</w:t>
      </w:r>
      <w:r>
        <w:rPr>
          <w:rFonts w:hint="eastAsia" w:eastAsia="方正仿宋简体"/>
          <w:sz w:val="32"/>
          <w:szCs w:val="32"/>
          <w:highlight w:val="none"/>
          <w:lang w:val="en-US" w:eastAsia="zh-CN"/>
        </w:rPr>
        <w:t>0</w:t>
      </w:r>
      <w:r>
        <w:rPr>
          <w:rFonts w:hint="eastAsia" w:eastAsia="方正仿宋简体"/>
          <w:sz w:val="32"/>
          <w:szCs w:val="32"/>
          <w:highlight w:val="none"/>
        </w:rPr>
        <w:t>辆、定向保障用车</w:t>
      </w:r>
      <w:r>
        <w:rPr>
          <w:rFonts w:hint="eastAsia" w:eastAsia="方正仿宋简体"/>
          <w:sz w:val="32"/>
          <w:szCs w:val="32"/>
          <w:highlight w:val="none"/>
          <w:lang w:val="en-US" w:eastAsia="zh-CN"/>
        </w:rPr>
        <w:t>3</w:t>
      </w:r>
      <w:r>
        <w:rPr>
          <w:rFonts w:hint="eastAsia" w:eastAsia="方正仿宋简体"/>
          <w:sz w:val="32"/>
          <w:szCs w:val="32"/>
          <w:highlight w:val="none"/>
        </w:rPr>
        <w:t>辆、</w:t>
      </w:r>
      <w:r>
        <w:rPr>
          <w:rFonts w:hint="eastAsia" w:eastAsia="方正仿宋简体"/>
          <w:sz w:val="32"/>
          <w:szCs w:val="32"/>
          <w:highlight w:val="none"/>
          <w:lang w:val="en-US" w:eastAsia="zh-CN"/>
        </w:rPr>
        <w:t>其他</w:t>
      </w:r>
      <w:r>
        <w:rPr>
          <w:rFonts w:hint="eastAsia" w:ascii="仿宋_GB2312" w:hAnsi="Times New Roman" w:eastAsia="仿宋_GB2312" w:cs="Times New Roman"/>
          <w:sz w:val="32"/>
          <w:szCs w:val="32"/>
          <w:highlight w:val="none"/>
          <w:lang w:val="en-US" w:eastAsia="zh-CN"/>
        </w:rPr>
        <w:t>公务用车2辆，</w:t>
      </w:r>
      <w:r>
        <w:rPr>
          <w:rFonts w:hint="eastAsia" w:eastAsia="方正仿宋简体"/>
          <w:sz w:val="32"/>
          <w:szCs w:val="32"/>
          <w:highlight w:val="none"/>
        </w:rPr>
        <w:t>执法执勤用车</w:t>
      </w:r>
      <w:r>
        <w:rPr>
          <w:rFonts w:hint="eastAsia" w:eastAsia="方正仿宋简体"/>
          <w:sz w:val="32"/>
          <w:szCs w:val="32"/>
          <w:highlight w:val="none"/>
          <w:lang w:val="en-US" w:eastAsia="zh-CN"/>
        </w:rPr>
        <w:t>0</w:t>
      </w:r>
      <w:r>
        <w:rPr>
          <w:rFonts w:hint="eastAsia" w:eastAsia="方正仿宋简体"/>
          <w:sz w:val="32"/>
          <w:szCs w:val="32"/>
          <w:highlight w:val="none"/>
        </w:rPr>
        <w:t>辆。单位价值100万元以上大型设备</w:t>
      </w:r>
      <w:r>
        <w:rPr>
          <w:rFonts w:hint="eastAsia" w:eastAsia="方正仿宋简体"/>
          <w:sz w:val="32"/>
          <w:szCs w:val="32"/>
          <w:highlight w:val="none"/>
          <w:lang w:val="en-US" w:eastAsia="zh-CN"/>
        </w:rPr>
        <w:t>0</w:t>
      </w:r>
      <w:r>
        <w:rPr>
          <w:rFonts w:hint="eastAsia" w:eastAsia="方正仿宋简体"/>
          <w:sz w:val="32"/>
          <w:szCs w:val="32"/>
          <w:highlight w:val="none"/>
        </w:rPr>
        <w:t>台（套）。</w:t>
      </w:r>
    </w:p>
    <w:p>
      <w:pPr>
        <w:spacing w:line="580" w:lineRule="exact"/>
        <w:ind w:firstLine="640" w:firstLineChars="200"/>
        <w:rPr>
          <w:rFonts w:eastAsia="方正仿宋简体"/>
          <w:sz w:val="32"/>
          <w:szCs w:val="32"/>
          <w:highlight w:val="none"/>
        </w:rPr>
      </w:pPr>
      <w:r>
        <w:rPr>
          <w:rFonts w:hint="eastAsia" w:eastAsia="方正仿宋简体"/>
          <w:sz w:val="32"/>
          <w:szCs w:val="32"/>
          <w:highlight w:val="none"/>
        </w:rPr>
        <w:t>20</w:t>
      </w:r>
      <w:r>
        <w:rPr>
          <w:rFonts w:eastAsia="方正仿宋简体"/>
          <w:sz w:val="32"/>
          <w:szCs w:val="32"/>
          <w:highlight w:val="none"/>
        </w:rPr>
        <w:t>2</w:t>
      </w:r>
      <w:r>
        <w:rPr>
          <w:rFonts w:hint="eastAsia" w:eastAsia="方正仿宋简体"/>
          <w:sz w:val="32"/>
          <w:szCs w:val="32"/>
          <w:highlight w:val="none"/>
        </w:rPr>
        <w:t>2年单位预算未安排购置车辆及单位价值100万元以上大型设备。</w:t>
      </w:r>
    </w:p>
    <w:p>
      <w:pPr>
        <w:spacing w:line="580" w:lineRule="exact"/>
        <w:ind w:firstLine="643" w:firstLineChars="200"/>
        <w:rPr>
          <w:rFonts w:hint="eastAsia" w:eastAsia="方正楷体简体"/>
          <w:b/>
          <w:sz w:val="32"/>
          <w:szCs w:val="32"/>
          <w:highlight w:val="none"/>
        </w:rPr>
      </w:pPr>
      <w:r>
        <w:rPr>
          <w:rFonts w:hint="eastAsia" w:eastAsia="方正楷体简体"/>
          <w:b/>
          <w:sz w:val="32"/>
          <w:szCs w:val="32"/>
          <w:highlight w:val="none"/>
        </w:rPr>
        <w:t>（四）绩效目标设置情况</w:t>
      </w:r>
    </w:p>
    <w:p>
      <w:pPr>
        <w:spacing w:line="580" w:lineRule="exact"/>
        <w:ind w:firstLine="640" w:firstLineChars="200"/>
        <w:rPr>
          <w:rFonts w:hint="eastAsia" w:eastAsia="方正仿宋简体"/>
          <w:sz w:val="32"/>
          <w:szCs w:val="32"/>
          <w:highlight w:val="none"/>
        </w:rPr>
      </w:pPr>
      <w:r>
        <w:rPr>
          <w:rFonts w:hint="eastAsia" w:eastAsia="方正仿宋简体"/>
          <w:sz w:val="32"/>
          <w:szCs w:val="32"/>
          <w:highlight w:val="none"/>
        </w:rPr>
        <w:t>绩效目标是预算编制的前提和基础，按照“费随事定”的原则，20</w:t>
      </w:r>
      <w:r>
        <w:rPr>
          <w:rFonts w:eastAsia="方正仿宋简体"/>
          <w:sz w:val="32"/>
          <w:szCs w:val="32"/>
          <w:highlight w:val="none"/>
        </w:rPr>
        <w:t>2</w:t>
      </w:r>
      <w:r>
        <w:rPr>
          <w:rFonts w:hint="eastAsia" w:eastAsia="方正仿宋简体"/>
          <w:sz w:val="32"/>
          <w:szCs w:val="32"/>
          <w:highlight w:val="none"/>
        </w:rPr>
        <w:t>2年</w:t>
      </w:r>
      <w:r>
        <w:rPr>
          <w:rFonts w:hint="eastAsia" w:ascii="仿宋" w:hAnsi="仿宋" w:eastAsia="仿宋"/>
          <w:color w:val="auto"/>
          <w:sz w:val="32"/>
          <w:szCs w:val="32"/>
          <w:highlight w:val="none"/>
        </w:rPr>
        <w:t>乐至县住房和城乡建设局</w:t>
      </w:r>
      <w:r>
        <w:rPr>
          <w:rFonts w:hint="eastAsia" w:eastAsia="方正仿宋简体"/>
          <w:sz w:val="32"/>
          <w:szCs w:val="32"/>
          <w:highlight w:val="none"/>
        </w:rPr>
        <w:t>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spacing w:line="580" w:lineRule="exact"/>
        <w:ind w:firstLine="640" w:firstLineChars="200"/>
        <w:rPr>
          <w:rFonts w:hint="eastAsia" w:eastAsia="方正黑体简体"/>
          <w:sz w:val="32"/>
          <w:szCs w:val="32"/>
          <w:highlight w:val="none"/>
        </w:rPr>
      </w:pPr>
      <w:r>
        <w:rPr>
          <w:rFonts w:hint="eastAsia" w:eastAsia="方正黑体简体"/>
          <w:sz w:val="32"/>
          <w:szCs w:val="32"/>
          <w:highlight w:val="none"/>
        </w:rPr>
        <w:t>十、名词解释</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（一）一般公共预算拨款收入：</w:t>
      </w:r>
      <w:r>
        <w:rPr>
          <w:rFonts w:hint="eastAsia" w:eastAsia="方正仿宋简体"/>
          <w:sz w:val="32"/>
          <w:szCs w:val="32"/>
          <w:highlight w:val="none"/>
        </w:rPr>
        <w:t>指县级财政当年拨付的资金。</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（二）上年结转：</w:t>
      </w:r>
      <w:r>
        <w:rPr>
          <w:rFonts w:hint="eastAsia" w:eastAsia="方正仿宋简体"/>
          <w:sz w:val="32"/>
          <w:szCs w:val="32"/>
          <w:highlight w:val="none"/>
        </w:rPr>
        <w:t>指以前年度尚未完成，结转到本年仍按原规定用途继续使用的资金。</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（三）一般公共服务（类）财政事务（款）行政运行（项）：</w:t>
      </w:r>
      <w:r>
        <w:rPr>
          <w:rFonts w:hint="eastAsia" w:eastAsia="方正仿宋简体"/>
          <w:sz w:val="32"/>
          <w:szCs w:val="32"/>
          <w:highlight w:val="none"/>
        </w:rPr>
        <w:t>指局机关及参公管理事业单位用于保障机构正常运行、开展日常工作的基本支出。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（四）一般公共服务（类）财政事务（款）一般行政管理事务（项）：</w:t>
      </w:r>
      <w:r>
        <w:rPr>
          <w:rFonts w:hint="eastAsia" w:eastAsia="方正仿宋简体"/>
          <w:sz w:val="32"/>
          <w:szCs w:val="32"/>
          <w:highlight w:val="none"/>
        </w:rPr>
        <w:t>指局机关及参公管理事业单位开展财政综合业务、预决算编审等未单独设置项级科目的专门性财政管理工作的项目支出。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（五）一般公共服务（类）财政事务（款）机关服务（项）：</w:t>
      </w:r>
      <w:r>
        <w:rPr>
          <w:rFonts w:hint="eastAsia" w:eastAsia="方正仿宋简体"/>
          <w:sz w:val="32"/>
          <w:szCs w:val="32"/>
          <w:highlight w:val="none"/>
        </w:rPr>
        <w:t>指后勤服务中心、信息中心为本单位正常运行提供服务的基本支出。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（六）一般公共服务（类）财政事务（款）信息化建设（项）：</w:t>
      </w:r>
      <w:r>
        <w:rPr>
          <w:rFonts w:hint="eastAsia" w:eastAsia="方正仿宋简体"/>
          <w:sz w:val="32"/>
          <w:szCs w:val="32"/>
          <w:highlight w:val="none"/>
        </w:rPr>
        <w:t>指财政局用于业务软件开发、硬件购置、系统升级等信息化建设方面的项目支出。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（七）一般公共服务（类）财政事务（款）事业运行（项）：</w:t>
      </w:r>
      <w:r>
        <w:rPr>
          <w:rFonts w:hint="eastAsia" w:eastAsia="方正仿宋简体"/>
          <w:sz w:val="32"/>
          <w:szCs w:val="32"/>
          <w:highlight w:val="none"/>
        </w:rPr>
        <w:t>指乐至县财政投资评审中心等用于保障机构正常运行、开展日常工作的基本支出。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（八）一般公共服务（类）财政事务（款）其他财政事务支出（项）：</w:t>
      </w:r>
      <w:r>
        <w:rPr>
          <w:rFonts w:hint="eastAsia" w:eastAsia="方正仿宋简体"/>
          <w:sz w:val="32"/>
          <w:szCs w:val="32"/>
          <w:highlight w:val="none"/>
        </w:rPr>
        <w:t>指财政局除上述项目外，开展其他财政事务方面专门性工作任务的项目支出，如高级会计师评审工作的相关支出。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（九）教育（类）进修及培训（款）培训支出（项）：</w:t>
      </w:r>
      <w:r>
        <w:rPr>
          <w:rFonts w:hint="eastAsia" w:eastAsia="方正仿宋简体"/>
          <w:sz w:val="32"/>
          <w:szCs w:val="32"/>
          <w:highlight w:val="none"/>
        </w:rPr>
        <w:t>指为配合财政业务开展，用于单位在职人员参加相关业务培训及举办财政管理业务培训的经费支出。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（十）社会保障和就业（类）行政事业单位养老支出（款）行政单位离退休（项）：</w:t>
      </w:r>
      <w:r>
        <w:rPr>
          <w:rFonts w:hint="eastAsia" w:eastAsia="方正仿宋简体"/>
          <w:sz w:val="32"/>
          <w:szCs w:val="32"/>
          <w:highlight w:val="none"/>
        </w:rPr>
        <w:t>指局机关离退休人员的支出。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（十一）社会保障和就业（类）行政事业单位养老支出（款）机关事业单位基本养老保险缴费支出（项）：</w:t>
      </w:r>
      <w:r>
        <w:rPr>
          <w:rFonts w:hint="eastAsia" w:eastAsia="方正仿宋简体"/>
          <w:sz w:val="32"/>
          <w:szCs w:val="32"/>
          <w:highlight w:val="none"/>
        </w:rPr>
        <w:t>指单位实施养老保险制度由单位缴纳的养老保险费的支出。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（十二）社会保障和就业（类）行政事业单位养老支出（款）机关事业单位职业年金缴费支出（项）：</w:t>
      </w:r>
      <w:r>
        <w:rPr>
          <w:rFonts w:hint="eastAsia" w:eastAsia="方正仿宋简体"/>
          <w:sz w:val="32"/>
          <w:szCs w:val="32"/>
          <w:highlight w:val="none"/>
        </w:rPr>
        <w:t>指单位实施养老保险制度由单位缴纳的职业年金的支出。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（十三）卫生健康（类）行政事业单位医疗（款）行政单位医疗（项）：</w:t>
      </w:r>
      <w:r>
        <w:rPr>
          <w:rFonts w:hint="eastAsia" w:eastAsia="方正仿宋简体"/>
          <w:sz w:val="32"/>
          <w:szCs w:val="32"/>
          <w:highlight w:val="none"/>
        </w:rPr>
        <w:t>指局机关及参公管理事业单位用于单位应缴纳基本医疗保险支出。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（十四）卫生健康（类）行政事业单位医疗（款）事业单位医疗（项）：</w:t>
      </w:r>
      <w:r>
        <w:rPr>
          <w:rFonts w:hint="eastAsia" w:eastAsia="方正仿宋简体"/>
          <w:sz w:val="32"/>
          <w:szCs w:val="32"/>
          <w:highlight w:val="none"/>
        </w:rPr>
        <w:t>指事业单位用于单位应缴纳基本医疗保险支出。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（十五）卫生健康（类）行政事业单位医疗（款）公务员医疗补助（项）：</w:t>
      </w:r>
      <w:r>
        <w:rPr>
          <w:rFonts w:hint="eastAsia" w:eastAsia="方正仿宋简体"/>
          <w:sz w:val="32"/>
          <w:szCs w:val="32"/>
          <w:highlight w:val="none"/>
        </w:rPr>
        <w:t>指局机关及参公管理事业单位用于集中缴纳公务员医疗补助支出。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（十六）住房保障（类）住房改革支出（款）住房公积金（项）：</w:t>
      </w:r>
      <w:r>
        <w:rPr>
          <w:rFonts w:hint="eastAsia" w:eastAsia="方正仿宋简体"/>
          <w:sz w:val="32"/>
          <w:szCs w:val="32"/>
          <w:highlight w:val="none"/>
        </w:rPr>
        <w:t>指按照《住房公积金管理条例》的规定，由单位及其在职职工缴存的长期住房储金。</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（十七）基本支出：</w:t>
      </w:r>
      <w:r>
        <w:rPr>
          <w:rFonts w:hint="eastAsia" w:eastAsia="方正仿宋简体"/>
          <w:sz w:val="32"/>
          <w:szCs w:val="32"/>
          <w:highlight w:val="none"/>
        </w:rPr>
        <w:t>指为保证机构正常运转，完成日常工作任务而发生的人员支出和公用支出。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（十八）项目支出：</w:t>
      </w:r>
      <w:r>
        <w:rPr>
          <w:rFonts w:hint="eastAsia" w:eastAsia="方正仿宋简体"/>
          <w:sz w:val="32"/>
          <w:szCs w:val="32"/>
          <w:highlight w:val="none"/>
        </w:rPr>
        <w:t>指在基本支出之外为完成特定行政任务和事业发展目标所发生的支出。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（十九）“三公”经费：</w:t>
      </w:r>
      <w:r>
        <w:rPr>
          <w:rFonts w:hint="eastAsia" w:eastAsia="方正仿宋简体"/>
          <w:sz w:val="32"/>
          <w:szCs w:val="32"/>
          <w:highlight w:val="none"/>
        </w:rPr>
        <w:t>纳入财政局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spacing w:line="580" w:lineRule="exact"/>
        <w:ind w:firstLine="643" w:firstLineChars="200"/>
        <w:rPr>
          <w:rFonts w:hint="eastAsia" w:eastAsia="方正仿宋简体"/>
          <w:sz w:val="32"/>
          <w:szCs w:val="32"/>
          <w:highlight w:val="none"/>
        </w:rPr>
      </w:pPr>
      <w:r>
        <w:rPr>
          <w:rFonts w:hint="eastAsia" w:eastAsia="方正楷体简体"/>
          <w:b/>
          <w:sz w:val="32"/>
          <w:szCs w:val="32"/>
          <w:highlight w:val="none"/>
        </w:rPr>
        <w:t>（二十）机关运行经费：</w:t>
      </w:r>
      <w:r>
        <w:rPr>
          <w:rFonts w:hint="eastAsia" w:eastAsia="方正仿宋简体"/>
          <w:sz w:val="32"/>
          <w:szCs w:val="32"/>
          <w:highlight w:val="none"/>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spacing w:line="580" w:lineRule="exact"/>
        <w:ind w:firstLine="640" w:firstLineChars="200"/>
        <w:rPr>
          <w:rFonts w:hint="eastAsia" w:eastAsia="方正仿宋简体"/>
          <w:sz w:val="32"/>
          <w:szCs w:val="32"/>
          <w:highlight w:val="none"/>
        </w:rPr>
      </w:pPr>
      <w:r>
        <w:rPr>
          <w:rFonts w:eastAsia="方正仿宋简体"/>
          <w:sz w:val="32"/>
          <w:szCs w:val="32"/>
          <w:highlight w:val="none"/>
        </w:rPr>
        <w:t>备注：</w:t>
      </w:r>
      <w:r>
        <w:rPr>
          <w:rFonts w:hint="eastAsia" w:eastAsia="方正仿宋简体"/>
          <w:sz w:val="32"/>
          <w:szCs w:val="32"/>
          <w:highlight w:val="none"/>
        </w:rPr>
        <w:t>1.请各单位不要修改模板，为“0”值的不要删除，并以“0”值反映。2.“政府性基金支出预算表”等无相应支出的空白表须填列“0”值并且备注说明“此表无数据”。3.</w:t>
      </w:r>
      <w:r>
        <w:rPr>
          <w:rFonts w:eastAsia="方正仿宋简体"/>
          <w:sz w:val="32"/>
          <w:szCs w:val="32"/>
          <w:highlight w:val="none"/>
        </w:rPr>
        <w:t>请各</w:t>
      </w:r>
      <w:r>
        <w:rPr>
          <w:rFonts w:hint="eastAsia" w:eastAsia="方正仿宋简体"/>
          <w:sz w:val="32"/>
          <w:szCs w:val="32"/>
          <w:highlight w:val="none"/>
        </w:rPr>
        <w:t>单位</w:t>
      </w:r>
      <w:r>
        <w:rPr>
          <w:rFonts w:eastAsia="方正仿宋简体"/>
          <w:sz w:val="32"/>
          <w:szCs w:val="32"/>
          <w:highlight w:val="none"/>
        </w:rPr>
        <w:t>注意数据逻辑关系，财政收支必须相等。</w:t>
      </w:r>
      <w:r>
        <w:rPr>
          <w:rFonts w:hint="eastAsia" w:eastAsia="方正仿宋简体"/>
          <w:sz w:val="32"/>
          <w:szCs w:val="32"/>
          <w:highlight w:val="none"/>
        </w:rPr>
        <w:t>4.</w:t>
      </w:r>
      <w:r>
        <w:rPr>
          <w:rFonts w:eastAsia="方正仿宋简体"/>
          <w:sz w:val="32"/>
          <w:szCs w:val="32"/>
          <w:highlight w:val="none"/>
        </w:rPr>
        <w:t>财政拨款涵盖预算系统里面的经费拨款、行政事业性收费等非税收入和政府性基金收入。</w:t>
      </w:r>
      <w:r>
        <w:rPr>
          <w:rFonts w:hint="eastAsia" w:eastAsia="方正仿宋简体"/>
          <w:sz w:val="32"/>
          <w:szCs w:val="32"/>
          <w:highlight w:val="none"/>
        </w:rPr>
        <w:t>5.</w:t>
      </w:r>
      <w:r>
        <w:rPr>
          <w:rFonts w:eastAsia="方正仿宋简体"/>
          <w:sz w:val="32"/>
          <w:szCs w:val="32"/>
          <w:highlight w:val="none"/>
        </w:rPr>
        <w:t>模板填报完成后，有下</w:t>
      </w:r>
      <w:r>
        <w:rPr>
          <w:rFonts w:hint="eastAsia" w:eastAsia="方正仿宋简体"/>
          <w:sz w:val="32"/>
          <w:szCs w:val="32"/>
          <w:highlight w:val="none"/>
        </w:rPr>
        <w:t>划</w:t>
      </w:r>
      <w:r>
        <w:rPr>
          <w:rFonts w:eastAsia="方正仿宋简体"/>
          <w:sz w:val="32"/>
          <w:szCs w:val="32"/>
          <w:highlight w:val="none"/>
        </w:rPr>
        <w:t>线部分的填报说明请</w:t>
      </w:r>
      <w:r>
        <w:rPr>
          <w:rFonts w:hint="eastAsia" w:eastAsia="方正仿宋简体"/>
          <w:sz w:val="32"/>
          <w:szCs w:val="32"/>
          <w:highlight w:val="none"/>
        </w:rPr>
        <w:t>单位</w:t>
      </w:r>
      <w:r>
        <w:rPr>
          <w:rFonts w:eastAsia="方正仿宋简体"/>
          <w:sz w:val="32"/>
          <w:szCs w:val="32"/>
          <w:highlight w:val="none"/>
        </w:rPr>
        <w:t>自行删除，通篇请不要再出现红色字体</w:t>
      </w:r>
      <w:r>
        <w:rPr>
          <w:rFonts w:hint="eastAsia" w:eastAsia="方正仿宋简体"/>
          <w:sz w:val="32"/>
          <w:szCs w:val="32"/>
          <w:highlight w:val="none"/>
        </w:rPr>
        <w:t>、</w:t>
      </w:r>
      <w:r>
        <w:rPr>
          <w:rFonts w:eastAsia="方正仿宋简体"/>
          <w:sz w:val="32"/>
          <w:szCs w:val="32"/>
          <w:highlight w:val="none"/>
        </w:rPr>
        <w:t>***等字符。</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9DDC70"/>
    <w:multiLevelType w:val="singleLevel"/>
    <w:tmpl w:val="2D9DDC7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6F1945"/>
    <w:rsid w:val="4A6C7AB0"/>
    <w:rsid w:val="6AFA38D3"/>
    <w:rsid w:val="78901D03"/>
    <w:rsid w:val="79C74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0"/>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character" w:styleId="9">
    <w:name w:val="page number"/>
    <w:basedOn w:val="8"/>
    <w:uiPriority w:val="0"/>
  </w:style>
  <w:style w:type="character" w:customStyle="1" w:styleId="10">
    <w:name w:val="标题 2 字符"/>
    <w:link w:val="5"/>
    <w:qFormat/>
    <w:locked/>
    <w:uiPriority w:val="9"/>
    <w:rPr>
      <w:rFonts w:ascii="Cambria" w:hAnsi="Cambria"/>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2022-01-18T06:43:00Z</dcterms:created>
  <dc:creator>Lenovo</dc:creator>
  <cp:lastModifiedBy>Lenovo</cp:lastModifiedBy>
  <dcterms:modified xsi:type="dcterms:W3CDTF">2023-09-12T03:06:36Z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45FDC628EE834736AFCCDC291D0B9760</vt:lpwstr>
  </property>
</Properties>
</file>